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aps/>
          <w:color w:val="B23A48"/>
          <w:sz w:val="20"/>
          <w:szCs w:val="20"/>
        </w:rPr>
        <w:t xml:space="preserve">VOLUME IV — ENTERPRISE ENGINEERING WORK PACKAGE LIBRARY (EWPL)</w:t>
      </w:r>
    </w:p>
    <w:p>
      <w:pPr>
        <w:spacing w:after="260"/>
        <w:jc w:val="center"/>
      </w:pPr>
      <w:r>
        <w:rPr>
          <w:b/>
          <w:bCs/>
          <w:color w:val="1A1D21"/>
          <w:sz w:val="28"/>
          <w:szCs w:val="28"/>
        </w:rPr>
        <w:t xml:space="preserve">Part 7</w:t>
      </w:r>
    </w:p>
    <w:p>
      <w:pPr>
        <w:pBdr>
          <w:bottom w:val="single" w:color="2E3440" w:sz="14" w:space="10"/>
        </w:pBdr>
        <w:spacing w:after="160"/>
        <w:jc w:val="center"/>
      </w:pPr>
      <w:r>
        <w:rPr>
          <w:b/>
          <w:bCs/>
          <w:color w:val="1A1D21"/>
          <w:sz w:val="40"/>
          <w:szCs w:val="40"/>
        </w:rPr>
        <w:t xml:space="preserve">Antigravity Readiness Review</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A Quality Audit of the Work Package Library's Antigravity Implementation Packages</w:t>
      </w:r>
    </w:p>
    <w:p>
      <w:r>
        <w:br w:type="page"/>
      </w:r>
    </w:p>
    <w:p>
      <w:pPr>
        <w:spacing w:after="40"/>
        <w:jc w:val="left"/>
      </w:pPr>
      <w:r>
        <w:rPr>
          <w:b/>
          <w:bCs/>
          <w:caps/>
          <w:color w:val="B23A48"/>
          <w:sz w:val="22"/>
          <w:szCs w:val="22"/>
        </w:rPr>
        <w:t xml:space="preserve">PART 7</w:t>
      </w:r>
    </w:p>
    <w:p>
      <w:pPr>
        <w:pBdr>
          <w:bottom w:val="single" w:color="2E3440" w:sz="12" w:space="8"/>
        </w:pBdr>
        <w:spacing w:after="200"/>
        <w:jc w:val="left"/>
      </w:pPr>
      <w:r>
        <w:rPr>
          <w:b/>
          <w:bCs/>
          <w:color w:val="1A1D21"/>
          <w:sz w:val="44"/>
          <w:szCs w:val="44"/>
        </w:rPr>
        <w:t xml:space="preserve">Antigravity Readiness Review</w:t>
      </w:r>
    </w:p>
    <w:p>
      <w:pPr>
        <w:pStyle w:val="Heading1"/>
        <w:pBdr>
          <w:bottom w:val="single" w:color="D3D7DC" w:sz="4" w:space="4"/>
        </w:pBdr>
        <w:spacing w:after="140" w:before="360"/>
      </w:pPr>
      <w:r>
        <w:rPr>
          <w:b/>
          <w:bCs/>
          <w:color w:val="B23A48"/>
          <w:sz w:val="26"/>
          <w:szCs w:val="26"/>
        </w:rPr>
        <w:t xml:space="preserve">7.1  </w:t>
      </w:r>
      <w:r>
        <w:rPr>
          <w:b/>
          <w:bCs/>
          <w:color w:val="2E3440"/>
          <w:sz w:val="26"/>
          <w:szCs w:val="26"/>
        </w:rPr>
        <w:t xml:space="preserve">Purpose and Methodology</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Independently audit every Work Package's Antigravity Implementation Package section for completeness, structural consistency, and content accuracy, and give an honest, evidence-based determination of the library's overall readiness for AI-assisted execution.</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Management and the Architecture Review Board a single, trustworthy answer to 'can this library be handed to Antigravity today' — with the same rigor this engagement applied to the MEKB's own Implementation Readiness Assessment.</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Work Package built under this volume carries its own Section 21, 'Antigravity Implementation Package,' per the standing requirement in EWPL Part 3. This review audits those twenty sections that exist, and states plainly which five do not exist yet.</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reader mistakes a partially complete library for a fully ready one, or a fully ready Work Package for one still pending review.</w:t>
            </w:r>
          </w:p>
        </w:tc>
      </w:tr>
    </w:tbl>
    <w:p>
      <w:pPr>
        <w:spacing w:after="160"/>
      </w:pPr>
    </w:p>
    <w:p>
      <w:pPr>
        <w:spacing w:after="150" w:line="276"/>
        <w:jc w:val="both"/>
      </w:pPr>
      <w:r>
        <w:t xml:space="preserve">This review does not restate any Work Package's content. It checks two things for each of the twenty-five Work Packages: first, whether an Antigravity Implementation Package section exists at all; second, for those that exist, whether the section is structurally complete and internally consistent with the governance decisions already fixed in the Enterprise Development Roadmap's Work Package Review &amp; Approval Matrix.</w:t>
      </w:r>
    </w:p>
    <w:p>
      <w:pPr>
        <w:pStyle w:val="Heading1"/>
        <w:pBdr>
          <w:bottom w:val="single" w:color="D3D7DC" w:sz="4" w:space="4"/>
        </w:pBdr>
        <w:spacing w:after="140" w:before="360"/>
      </w:pPr>
      <w:r>
        <w:rPr>
          <w:b/>
          <w:bCs/>
          <w:color w:val="B23A48"/>
          <w:sz w:val="26"/>
          <w:szCs w:val="26"/>
        </w:rPr>
        <w:t xml:space="preserve">7.2  </w:t>
      </w:r>
      <w:r>
        <w:rPr>
          <w:b/>
          <w:bCs/>
          <w:color w:val="2E3440"/>
          <w:sz w:val="26"/>
          <w:szCs w:val="26"/>
        </w:rPr>
        <w:t xml:space="preserve">What 'Antigravity-Ready' Means</w:t>
      </w:r>
    </w:p>
    <w:p>
      <w:pPr>
        <w:spacing w:after="150" w:line="276"/>
        <w:jc w:val="both"/>
      </w:pPr>
      <w:r>
        <w:t xml:space="preserve">A Work Package is Antigravity-ready only if its Section 21 contains all ten of the following elements, each populated with Work-Package-specific content rather than a placeholder:</w:t>
      </w:r>
    </w:p>
    <w:p>
      <w:pPr>
        <w:spacing w:after="90" w:line="264"/>
      </w:pPr>
      <w:r>
        <w:rPr>
          <w:b/>
          <w:bCs/>
          <w:color w:val="2E3440"/>
        </w:rPr>
        <w:t xml:space="preserve">1. </w:t>
      </w:r>
      <w:r>
        <w:t xml:space="preserve">Required Context Documents — every governing document Antigravity must read before starting.</w:t>
      </w:r>
    </w:p>
    <w:p>
      <w:pPr>
        <w:spacing w:after="90" w:line="264"/>
      </w:pPr>
      <w:r>
        <w:rPr>
          <w:b/>
          <w:bCs/>
          <w:color w:val="2E3440"/>
        </w:rPr>
        <w:t xml:space="preserve">2. </w:t>
      </w:r>
      <w:r>
        <w:t xml:space="preserve">Mandatory Architecture References — the specific architecture sections that bind the implementation.</w:t>
      </w:r>
    </w:p>
    <w:p>
      <w:pPr>
        <w:spacing w:after="90" w:line="264"/>
      </w:pPr>
      <w:r>
        <w:rPr>
          <w:b/>
          <w:bCs/>
          <w:color w:val="2E3440"/>
        </w:rPr>
        <w:t xml:space="preserve">3. </w:t>
      </w:r>
      <w:r>
        <w:t xml:space="preserve">Required APIs — the exact endpoints this Work Package builds, cross-referenced to its own Section 8.</w:t>
      </w:r>
    </w:p>
    <w:p>
      <w:pPr>
        <w:spacing w:after="90" w:line="264"/>
      </w:pPr>
      <w:r>
        <w:rPr>
          <w:b/>
          <w:bCs/>
          <w:color w:val="2E3440"/>
        </w:rPr>
        <w:t xml:space="preserve">4. </w:t>
      </w:r>
      <w:r>
        <w:t xml:space="preserve">Required Database Objects — the exact tables/entities this Work Package builds, cross-referenced to its own Section 9.</w:t>
      </w:r>
    </w:p>
    <w:p>
      <w:pPr>
        <w:spacing w:after="90" w:line="264"/>
      </w:pPr>
      <w:r>
        <w:rPr>
          <w:b/>
          <w:bCs/>
          <w:color w:val="2E3440"/>
        </w:rPr>
        <w:t xml:space="preserve">5. </w:t>
      </w:r>
      <w:r>
        <w:t xml:space="preserve">Required UI Components — the exact screens this Work Package builds, cross-referenced to its own Section 7.</w:t>
      </w:r>
    </w:p>
    <w:p>
      <w:pPr>
        <w:spacing w:after="90" w:line="264"/>
      </w:pPr>
      <w:r>
        <w:rPr>
          <w:b/>
          <w:bCs/>
          <w:color w:val="2E3440"/>
        </w:rPr>
        <w:t xml:space="preserve">6. </w:t>
      </w:r>
      <w:r>
        <w:t xml:space="preserve">Security Controls — the specific controls Antigravity must implement, cross-referenced to its own Section 10.</w:t>
      </w:r>
    </w:p>
    <w:p>
      <w:pPr>
        <w:spacing w:after="90" w:line="264"/>
      </w:pPr>
      <w:r>
        <w:rPr>
          <w:b/>
          <w:bCs/>
          <w:color w:val="2E3440"/>
        </w:rPr>
        <w:t xml:space="preserve">7. </w:t>
      </w:r>
      <w:r>
        <w:t xml:space="preserve">Test Cases — the specific test case identifiers Antigravity's output must satisfy.</w:t>
      </w:r>
    </w:p>
    <w:p>
      <w:pPr>
        <w:spacing w:after="90" w:line="264"/>
      </w:pPr>
      <w:r>
        <w:rPr>
          <w:b/>
          <w:bCs/>
          <w:color w:val="2E3440"/>
        </w:rPr>
        <w:t xml:space="preserve">8. </w:t>
      </w:r>
      <w:r>
        <w:t xml:space="preserve">Expected Engineering Outputs — the concrete artifacts Antigravity is expected to produce.</w:t>
      </w:r>
    </w:p>
    <w:p>
      <w:pPr>
        <w:spacing w:after="90" w:line="264"/>
      </w:pPr>
      <w:r>
        <w:rPr>
          <w:b/>
          <w:bCs/>
          <w:color w:val="2E3440"/>
        </w:rPr>
        <w:t xml:space="preserve">9. </w:t>
      </w:r>
      <w:r>
        <w:t xml:space="preserve">Documentation Updates — what documentation Antigravity must update as part of the work.</w:t>
      </w:r>
    </w:p>
    <w:p>
      <w:pPr>
        <w:spacing w:after="90" w:line="264"/>
      </w:pPr>
      <w:r>
        <w:rPr>
          <w:b/>
          <w:bCs/>
          <w:color w:val="2E3440"/>
        </w:rPr>
        <w:t xml:space="preserve">10. </w:t>
      </w:r>
      <w:r>
        <w:t xml:space="preserve">Completion Checklist — the exact gate Antigravity's output must clear before the Work Package is marked CLOSED.</w:t>
      </w:r>
    </w:p>
    <w:p>
      <w:pPr>
        <w:pStyle w:val="Heading1"/>
        <w:pBdr>
          <w:bottom w:val="single" w:color="D3D7DC" w:sz="4" w:space="4"/>
        </w:pBdr>
        <w:spacing w:after="140" w:before="360"/>
      </w:pPr>
      <w:r>
        <w:rPr>
          <w:b/>
          <w:bCs/>
          <w:color w:val="B23A48"/>
          <w:sz w:val="26"/>
          <w:szCs w:val="26"/>
        </w:rPr>
        <w:t xml:space="preserve">7.3  </w:t>
      </w:r>
      <w:r>
        <w:rPr>
          <w:b/>
          <w:bCs/>
          <w:color w:val="2E3440"/>
          <w:sz w:val="26"/>
          <w:szCs w:val="26"/>
        </w:rPr>
        <w:t xml:space="preserve">Readiness Status — All 25 Work Packages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613"/>
        <w:gridCol w:w="2621"/>
        <w:gridCol w:w="2016"/>
        <w:gridCol w:w="3024"/>
      </w:tblGrid>
      <w:tr>
        <w:trPr>
          <w:tblHeader/>
        </w:trPr>
        <w:tc>
          <w:tcPr>
            <w:tcW w:type="dxa" w:w="806"/>
            <w:shd w:fill="2E3440" w:val="clear"/>
            <w:tcMar>
              <w:top w:type="dxa" w:w="70"/>
              <w:left w:type="dxa" w:w="110"/>
              <w:bottom w:type="dxa" w:w="70"/>
              <w:right w:type="dxa" w:w="110"/>
            </w:tcMar>
            <w:vAlign w:val="top"/>
          </w:tcPr>
          <w:p>
            <w:r>
              <w:rPr>
                <w:b/>
                <w:bCs/>
                <w:color w:val="FFFFFF"/>
                <w:sz w:val="17"/>
                <w:szCs w:val="17"/>
              </w:rPr>
              <w:t xml:space="preserve">WP</w:t>
            </w:r>
          </w:p>
        </w:tc>
        <w:tc>
          <w:tcPr>
            <w:tcW w:type="dxa" w:w="1613"/>
            <w:shd w:fill="2E3440" w:val="clear"/>
            <w:tcMar>
              <w:top w:type="dxa" w:w="70"/>
              <w:left w:type="dxa" w:w="110"/>
              <w:bottom w:type="dxa" w:w="70"/>
              <w:right w:type="dxa" w:w="110"/>
            </w:tcMar>
            <w:vAlign w:val="top"/>
          </w:tcPr>
          <w:p>
            <w:r>
              <w:rPr>
                <w:b/>
                <w:bCs/>
                <w:color w:val="FFFFFF"/>
                <w:sz w:val="17"/>
                <w:szCs w:val="17"/>
              </w:rPr>
              <w:t xml:space="preserve">Documented</w:t>
            </w:r>
          </w:p>
        </w:tc>
        <w:tc>
          <w:tcPr>
            <w:tcW w:type="dxa" w:w="2621"/>
            <w:shd w:fill="2E3440" w:val="clear"/>
            <w:tcMar>
              <w:top w:type="dxa" w:w="70"/>
              <w:left w:type="dxa" w:w="110"/>
              <w:bottom w:type="dxa" w:w="70"/>
              <w:right w:type="dxa" w:w="110"/>
            </w:tcMar>
            <w:vAlign w:val="top"/>
          </w:tcPr>
          <w:p>
            <w:r>
              <w:rPr>
                <w:b/>
                <w:bCs/>
                <w:color w:val="FFFFFF"/>
                <w:sz w:val="17"/>
                <w:szCs w:val="17"/>
              </w:rPr>
              <w:t xml:space="preserve">Dedicated Security Review Required (EDR Matrix)</w:t>
            </w:r>
          </w:p>
        </w:tc>
        <w:tc>
          <w:tcPr>
            <w:tcW w:type="dxa" w:w="2016"/>
            <w:shd w:fill="2E3440" w:val="clear"/>
            <w:tcMar>
              <w:top w:type="dxa" w:w="70"/>
              <w:left w:type="dxa" w:w="110"/>
              <w:bottom w:type="dxa" w:w="70"/>
              <w:right w:type="dxa" w:w="110"/>
            </w:tcMar>
            <w:vAlign w:val="top"/>
          </w:tcPr>
          <w:p>
            <w:r>
              <w:rPr>
                <w:b/>
                <w:bCs/>
                <w:color w:val="FFFFFF"/>
                <w:sz w:val="17"/>
                <w:szCs w:val="17"/>
              </w:rPr>
              <w:t xml:space="preserve">Explicitly Flagged in Own §21</w:t>
            </w:r>
          </w:p>
        </w:tc>
        <w:tc>
          <w:tcPr>
            <w:tcW w:type="dxa" w:w="3024"/>
            <w:shd w:fill="2E3440" w:val="clear"/>
            <w:tcMar>
              <w:top w:type="dxa" w:w="70"/>
              <w:left w:type="dxa" w:w="110"/>
              <w:bottom w:type="dxa" w:w="70"/>
              <w:right w:type="dxa" w:w="110"/>
            </w:tcMar>
            <w:vAlign w:val="top"/>
          </w:tcPr>
          <w:p>
            <w:r>
              <w:rPr>
                <w:b/>
                <w:bCs/>
                <w:color w:val="FFFFFF"/>
                <w:sz w:val="17"/>
                <w:szCs w:val="17"/>
              </w:rPr>
              <w:t xml:space="preserve">Status</w:t>
            </w:r>
          </w:p>
        </w:tc>
      </w:tr>
      <w:tr>
        <w:tc>
          <w:tcPr>
            <w:tcW w:type="dxa" w:w="806"/>
            <w:tcMar>
              <w:top w:type="dxa" w:w="70"/>
              <w:left w:type="dxa" w:w="110"/>
              <w:bottom w:type="dxa" w:w="70"/>
              <w:right w:type="dxa" w:w="110"/>
            </w:tcMar>
            <w:vAlign w:val="top"/>
          </w:tcPr>
          <w:p>
            <w:r>
              <w:rPr>
                <w:b/>
                <w:bCs/>
                <w:color w:val="1A1A1A"/>
                <w:sz w:val="12"/>
                <w:szCs w:val="12"/>
              </w:rPr>
              <w:t xml:space="preserve">WP-01</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No — gap</w:t>
            </w:r>
          </w:p>
        </w:tc>
        <w:tc>
          <w:tcPr>
            <w:tcW w:type="dxa" w:w="3024"/>
            <w:tcMar>
              <w:top w:type="dxa" w:w="70"/>
              <w:left w:type="dxa" w:w="110"/>
              <w:bottom w:type="dxa" w:w="70"/>
              <w:right w:type="dxa" w:w="110"/>
            </w:tcMar>
            <w:vAlign w:val="top"/>
          </w:tcPr>
          <w:p>
            <w:r>
              <w:rPr>
                <w:b w:val="false"/>
                <w:bCs w:val="false"/>
                <w:color w:val="1A1A1A"/>
                <w:sz w:val="12"/>
                <w:szCs w:val="12"/>
              </w:rPr>
              <w:t xml:space="preserve">Ready, with documentation gap</w:t>
            </w:r>
          </w:p>
        </w:tc>
      </w:tr>
      <w:tr>
        <w:tc>
          <w:tcPr>
            <w:tcW w:type="dxa" w:w="806"/>
            <w:tcMar>
              <w:top w:type="dxa" w:w="70"/>
              <w:left w:type="dxa" w:w="110"/>
              <w:bottom w:type="dxa" w:w="70"/>
              <w:right w:type="dxa" w:w="110"/>
            </w:tcMar>
            <w:vAlign w:val="top"/>
          </w:tcPr>
          <w:p>
            <w:r>
              <w:rPr>
                <w:b/>
                <w:bCs/>
                <w:color w:val="1A1A1A"/>
                <w:sz w:val="12"/>
                <w:szCs w:val="12"/>
              </w:rPr>
              <w:t xml:space="preserve">WP-02</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No — gap</w:t>
            </w:r>
          </w:p>
        </w:tc>
        <w:tc>
          <w:tcPr>
            <w:tcW w:type="dxa" w:w="3024"/>
            <w:tcMar>
              <w:top w:type="dxa" w:w="70"/>
              <w:left w:type="dxa" w:w="110"/>
              <w:bottom w:type="dxa" w:w="70"/>
              <w:right w:type="dxa" w:w="110"/>
            </w:tcMar>
            <w:vAlign w:val="top"/>
          </w:tcPr>
          <w:p>
            <w:r>
              <w:rPr>
                <w:b w:val="false"/>
                <w:bCs w:val="false"/>
                <w:color w:val="1A1A1A"/>
                <w:sz w:val="12"/>
                <w:szCs w:val="12"/>
              </w:rPr>
              <w:t xml:space="preserve">Ready, with documentation gap</w:t>
            </w:r>
          </w:p>
        </w:tc>
      </w:tr>
      <w:tr>
        <w:tc>
          <w:tcPr>
            <w:tcW w:type="dxa" w:w="806"/>
            <w:tcMar>
              <w:top w:type="dxa" w:w="70"/>
              <w:left w:type="dxa" w:w="110"/>
              <w:bottom w:type="dxa" w:w="70"/>
              <w:right w:type="dxa" w:w="110"/>
            </w:tcMar>
            <w:vAlign w:val="top"/>
          </w:tcPr>
          <w:p>
            <w:r>
              <w:rPr>
                <w:b/>
                <w:bCs/>
                <w:color w:val="1A1A1A"/>
                <w:sz w:val="12"/>
                <w:szCs w:val="12"/>
              </w:rPr>
              <w:t xml:space="preserve">WP-03</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No — gap</w:t>
            </w:r>
          </w:p>
        </w:tc>
        <w:tc>
          <w:tcPr>
            <w:tcW w:type="dxa" w:w="3024"/>
            <w:tcMar>
              <w:top w:type="dxa" w:w="70"/>
              <w:left w:type="dxa" w:w="110"/>
              <w:bottom w:type="dxa" w:w="70"/>
              <w:right w:type="dxa" w:w="110"/>
            </w:tcMar>
            <w:vAlign w:val="top"/>
          </w:tcPr>
          <w:p>
            <w:r>
              <w:rPr>
                <w:b w:val="false"/>
                <w:bCs w:val="false"/>
                <w:color w:val="1A1A1A"/>
                <w:sz w:val="12"/>
                <w:szCs w:val="12"/>
              </w:rPr>
              <w:t xml:space="preserve">Ready, with documentation gap</w:t>
            </w:r>
          </w:p>
        </w:tc>
      </w:tr>
      <w:tr>
        <w:tc>
          <w:tcPr>
            <w:tcW w:type="dxa" w:w="806"/>
            <w:tcMar>
              <w:top w:type="dxa" w:w="70"/>
              <w:left w:type="dxa" w:w="110"/>
              <w:bottom w:type="dxa" w:w="70"/>
              <w:right w:type="dxa" w:w="110"/>
            </w:tcMar>
            <w:vAlign w:val="top"/>
          </w:tcPr>
          <w:p>
            <w:r>
              <w:rPr>
                <w:b/>
                <w:bCs/>
                <w:color w:val="1A1A1A"/>
                <w:sz w:val="12"/>
                <w:szCs w:val="12"/>
              </w:rPr>
              <w:t xml:space="preserve">WP-04</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No — gap</w:t>
            </w:r>
          </w:p>
        </w:tc>
        <w:tc>
          <w:tcPr>
            <w:tcW w:type="dxa" w:w="3024"/>
            <w:tcMar>
              <w:top w:type="dxa" w:w="70"/>
              <w:left w:type="dxa" w:w="110"/>
              <w:bottom w:type="dxa" w:w="70"/>
              <w:right w:type="dxa" w:w="110"/>
            </w:tcMar>
            <w:vAlign w:val="top"/>
          </w:tcPr>
          <w:p>
            <w:r>
              <w:rPr>
                <w:b w:val="false"/>
                <w:bCs w:val="false"/>
                <w:color w:val="1A1A1A"/>
                <w:sz w:val="12"/>
                <w:szCs w:val="12"/>
              </w:rPr>
              <w:t xml:space="preserve">Ready, with documentation gap</w:t>
            </w:r>
          </w:p>
        </w:tc>
      </w:tr>
      <w:tr>
        <w:tc>
          <w:tcPr>
            <w:tcW w:type="dxa" w:w="806"/>
            <w:tcMar>
              <w:top w:type="dxa" w:w="70"/>
              <w:left w:type="dxa" w:w="110"/>
              <w:bottom w:type="dxa" w:w="70"/>
              <w:right w:type="dxa" w:w="110"/>
            </w:tcMar>
            <w:vAlign w:val="top"/>
          </w:tcPr>
          <w:p>
            <w:r>
              <w:rPr>
                <w:b/>
                <w:bCs/>
                <w:color w:val="1A1A1A"/>
                <w:sz w:val="12"/>
                <w:szCs w:val="12"/>
              </w:rPr>
              <w:t xml:space="preserve">WP-05</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Yes</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WP-06</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WP-07</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WP-08</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WP-09</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WP-10</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WP-11</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No — gap</w:t>
            </w:r>
          </w:p>
        </w:tc>
        <w:tc>
          <w:tcPr>
            <w:tcW w:type="dxa" w:w="3024"/>
            <w:tcMar>
              <w:top w:type="dxa" w:w="70"/>
              <w:left w:type="dxa" w:w="110"/>
              <w:bottom w:type="dxa" w:w="70"/>
              <w:right w:type="dxa" w:w="110"/>
            </w:tcMar>
            <w:vAlign w:val="top"/>
          </w:tcPr>
          <w:p>
            <w:r>
              <w:rPr>
                <w:b w:val="false"/>
                <w:bCs w:val="false"/>
                <w:color w:val="1A1A1A"/>
                <w:sz w:val="12"/>
                <w:szCs w:val="12"/>
              </w:rPr>
              <w:t xml:space="preserve">Ready, with documentation gap</w:t>
            </w:r>
          </w:p>
        </w:tc>
      </w:tr>
      <w:tr>
        <w:tc>
          <w:tcPr>
            <w:tcW w:type="dxa" w:w="806"/>
            <w:tcMar>
              <w:top w:type="dxa" w:w="70"/>
              <w:left w:type="dxa" w:w="110"/>
              <w:bottom w:type="dxa" w:w="70"/>
              <w:right w:type="dxa" w:w="110"/>
            </w:tcMar>
            <w:vAlign w:val="top"/>
          </w:tcPr>
          <w:p>
            <w:r>
              <w:rPr>
                <w:b/>
                <w:bCs/>
                <w:color w:val="1A1A1A"/>
                <w:sz w:val="12"/>
                <w:szCs w:val="12"/>
              </w:rPr>
              <w:t xml:space="preserve">WP-12</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Yes</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WP-13</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WP-14</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WP-15</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Yes</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WP-16</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WP-17</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WP-18</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WP-19</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WP-20</w:t>
            </w:r>
          </w:p>
        </w:tc>
        <w:tc>
          <w:tcPr>
            <w:tcW w:type="dxa" w:w="1613"/>
            <w:tcMar>
              <w:top w:type="dxa" w:w="70"/>
              <w:left w:type="dxa" w:w="110"/>
              <w:bottom w:type="dxa" w:w="70"/>
              <w:right w:type="dxa" w:w="110"/>
            </w:tcMar>
            <w:vAlign w:val="top"/>
          </w:tcPr>
          <w:p>
            <w:r>
              <w:rPr>
                <w:b w:val="false"/>
                <w:bCs w:val="false"/>
                <w:color w:val="1A1A1A"/>
                <w:sz w:val="12"/>
                <w:szCs w:val="12"/>
              </w:rPr>
              <w:t xml:space="preserve">Yes</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Fully Ready</w:t>
            </w:r>
          </w:p>
        </w:tc>
      </w:tr>
      <w:tr>
        <w:tc>
          <w:tcPr>
            <w:tcW w:type="dxa" w:w="806"/>
            <w:tcMar>
              <w:top w:type="dxa" w:w="70"/>
              <w:left w:type="dxa" w:w="110"/>
              <w:bottom w:type="dxa" w:w="70"/>
              <w:right w:type="dxa" w:w="110"/>
            </w:tcMar>
            <w:vAlign w:val="top"/>
          </w:tcPr>
          <w:p>
            <w:r>
              <w:rPr>
                <w:b/>
                <w:bCs/>
                <w:color w:val="1A1A1A"/>
                <w:sz w:val="12"/>
                <w:szCs w:val="12"/>
              </w:rPr>
              <w:t xml:space="preserve">WP-21</w:t>
            </w:r>
          </w:p>
        </w:tc>
        <w:tc>
          <w:tcPr>
            <w:tcW w:type="dxa" w:w="1613"/>
            <w:tcMar>
              <w:top w:type="dxa" w:w="70"/>
              <w:left w:type="dxa" w:w="110"/>
              <w:bottom w:type="dxa" w:w="70"/>
              <w:right w:type="dxa" w:w="110"/>
            </w:tcMar>
            <w:vAlign w:val="top"/>
          </w:tcPr>
          <w:p>
            <w:r>
              <w:rPr>
                <w:b w:val="false"/>
                <w:bCs w:val="false"/>
                <w:color w:val="1A1A1A"/>
                <w:sz w:val="12"/>
                <w:szCs w:val="12"/>
              </w:rPr>
              <w:t xml:space="preserve">No — not yet documented</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Not Ready — pending Stage 7</w:t>
            </w:r>
          </w:p>
        </w:tc>
      </w:tr>
      <w:tr>
        <w:tc>
          <w:tcPr>
            <w:tcW w:type="dxa" w:w="806"/>
            <w:tcMar>
              <w:top w:type="dxa" w:w="70"/>
              <w:left w:type="dxa" w:w="110"/>
              <w:bottom w:type="dxa" w:w="70"/>
              <w:right w:type="dxa" w:w="110"/>
            </w:tcMar>
            <w:vAlign w:val="top"/>
          </w:tcPr>
          <w:p>
            <w:r>
              <w:rPr>
                <w:b/>
                <w:bCs/>
                <w:color w:val="1A1A1A"/>
                <w:sz w:val="12"/>
                <w:szCs w:val="12"/>
              </w:rPr>
              <w:t xml:space="preserve">WP-22</w:t>
            </w:r>
          </w:p>
        </w:tc>
        <w:tc>
          <w:tcPr>
            <w:tcW w:type="dxa" w:w="1613"/>
            <w:tcMar>
              <w:top w:type="dxa" w:w="70"/>
              <w:left w:type="dxa" w:w="110"/>
              <w:bottom w:type="dxa" w:w="70"/>
              <w:right w:type="dxa" w:w="110"/>
            </w:tcMar>
            <w:vAlign w:val="top"/>
          </w:tcPr>
          <w:p>
            <w:r>
              <w:rPr>
                <w:b w:val="false"/>
                <w:bCs w:val="false"/>
                <w:color w:val="1A1A1A"/>
                <w:sz w:val="12"/>
                <w:szCs w:val="12"/>
              </w:rPr>
              <w:t xml:space="preserve">No — not yet documented</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Not Ready — pending Stage 7</w:t>
            </w:r>
          </w:p>
        </w:tc>
      </w:tr>
      <w:tr>
        <w:tc>
          <w:tcPr>
            <w:tcW w:type="dxa" w:w="806"/>
            <w:tcMar>
              <w:top w:type="dxa" w:w="70"/>
              <w:left w:type="dxa" w:w="110"/>
              <w:bottom w:type="dxa" w:w="70"/>
              <w:right w:type="dxa" w:w="110"/>
            </w:tcMar>
            <w:vAlign w:val="top"/>
          </w:tcPr>
          <w:p>
            <w:r>
              <w:rPr>
                <w:b/>
                <w:bCs/>
                <w:color w:val="1A1A1A"/>
                <w:sz w:val="12"/>
                <w:szCs w:val="12"/>
              </w:rPr>
              <w:t xml:space="preserve">WP-23</w:t>
            </w:r>
          </w:p>
        </w:tc>
        <w:tc>
          <w:tcPr>
            <w:tcW w:type="dxa" w:w="1613"/>
            <w:tcMar>
              <w:top w:type="dxa" w:w="70"/>
              <w:left w:type="dxa" w:w="110"/>
              <w:bottom w:type="dxa" w:w="70"/>
              <w:right w:type="dxa" w:w="110"/>
            </w:tcMar>
            <w:vAlign w:val="top"/>
          </w:tcPr>
          <w:p>
            <w:r>
              <w:rPr>
                <w:b w:val="false"/>
                <w:bCs w:val="false"/>
                <w:color w:val="1A1A1A"/>
                <w:sz w:val="12"/>
                <w:szCs w:val="12"/>
              </w:rPr>
              <w:t xml:space="preserve">No — not yet documented</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Not Ready — pending Stage 7</w:t>
            </w:r>
          </w:p>
        </w:tc>
      </w:tr>
      <w:tr>
        <w:tc>
          <w:tcPr>
            <w:tcW w:type="dxa" w:w="806"/>
            <w:tcMar>
              <w:top w:type="dxa" w:w="70"/>
              <w:left w:type="dxa" w:w="110"/>
              <w:bottom w:type="dxa" w:w="70"/>
              <w:right w:type="dxa" w:w="110"/>
            </w:tcMar>
            <w:vAlign w:val="top"/>
          </w:tcPr>
          <w:p>
            <w:r>
              <w:rPr>
                <w:b/>
                <w:bCs/>
                <w:color w:val="1A1A1A"/>
                <w:sz w:val="12"/>
                <w:szCs w:val="12"/>
              </w:rPr>
              <w:t xml:space="preserve">WP-24</w:t>
            </w:r>
          </w:p>
        </w:tc>
        <w:tc>
          <w:tcPr>
            <w:tcW w:type="dxa" w:w="1613"/>
            <w:tcMar>
              <w:top w:type="dxa" w:w="70"/>
              <w:left w:type="dxa" w:w="110"/>
              <w:bottom w:type="dxa" w:w="70"/>
              <w:right w:type="dxa" w:w="110"/>
            </w:tcMar>
            <w:vAlign w:val="top"/>
          </w:tcPr>
          <w:p>
            <w:r>
              <w:rPr>
                <w:b w:val="false"/>
                <w:bCs w:val="false"/>
                <w:color w:val="1A1A1A"/>
                <w:sz w:val="12"/>
                <w:szCs w:val="12"/>
              </w:rPr>
              <w:t xml:space="preserve">No — not yet documented</w:t>
            </w:r>
          </w:p>
        </w:tc>
        <w:tc>
          <w:tcPr>
            <w:tcW w:type="dxa" w:w="2621"/>
            <w:tcMar>
              <w:top w:type="dxa" w:w="70"/>
              <w:left w:type="dxa" w:w="110"/>
              <w:bottom w:type="dxa" w:w="70"/>
              <w:right w:type="dxa" w:w="110"/>
            </w:tcMar>
            <w:vAlign w:val="top"/>
          </w:tcPr>
          <w:p>
            <w:r>
              <w:rPr>
                <w:b w:val="false"/>
                <w:bCs w:val="false"/>
                <w:color w:val="1A1A1A"/>
                <w:sz w:val="12"/>
                <w:szCs w:val="12"/>
              </w:rPr>
              <w:t xml:space="preserve">Yes</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Not Ready — pending Stage 7</w:t>
            </w:r>
          </w:p>
        </w:tc>
      </w:tr>
      <w:tr>
        <w:tc>
          <w:tcPr>
            <w:tcW w:type="dxa" w:w="806"/>
            <w:tcMar>
              <w:top w:type="dxa" w:w="70"/>
              <w:left w:type="dxa" w:w="110"/>
              <w:bottom w:type="dxa" w:w="70"/>
              <w:right w:type="dxa" w:w="110"/>
            </w:tcMar>
            <w:vAlign w:val="top"/>
          </w:tcPr>
          <w:p>
            <w:r>
              <w:rPr>
                <w:b/>
                <w:bCs/>
                <w:color w:val="1A1A1A"/>
                <w:sz w:val="12"/>
                <w:szCs w:val="12"/>
              </w:rPr>
              <w:t xml:space="preserve">WP-25</w:t>
            </w:r>
          </w:p>
        </w:tc>
        <w:tc>
          <w:tcPr>
            <w:tcW w:type="dxa" w:w="1613"/>
            <w:tcMar>
              <w:top w:type="dxa" w:w="70"/>
              <w:left w:type="dxa" w:w="110"/>
              <w:bottom w:type="dxa" w:w="70"/>
              <w:right w:type="dxa" w:w="110"/>
            </w:tcMar>
            <w:vAlign w:val="top"/>
          </w:tcPr>
          <w:p>
            <w:r>
              <w:rPr>
                <w:b w:val="false"/>
                <w:bCs w:val="false"/>
                <w:color w:val="1A1A1A"/>
                <w:sz w:val="12"/>
                <w:szCs w:val="12"/>
              </w:rPr>
              <w:t xml:space="preserve">No — not yet documented</w:t>
            </w:r>
          </w:p>
        </w:tc>
        <w:tc>
          <w:tcPr>
            <w:tcW w:type="dxa" w:w="2621"/>
            <w:tcMar>
              <w:top w:type="dxa" w:w="70"/>
              <w:left w:type="dxa" w:w="110"/>
              <w:bottom w:type="dxa" w:w="70"/>
              <w:right w:type="dxa" w:w="110"/>
            </w:tcMar>
            <w:vAlign w:val="top"/>
          </w:tcPr>
          <w:p>
            <w:r>
              <w:rPr>
                <w:b w:val="false"/>
                <w:bCs w:val="false"/>
                <w:color w:val="1A1A1A"/>
                <w:sz w:val="12"/>
                <w:szCs w:val="12"/>
              </w:rPr>
              <w:t xml:space="preserve">No (Standard)</w:t>
            </w:r>
          </w:p>
        </w:tc>
        <w:tc>
          <w:tcPr>
            <w:tcW w:type="dxa" w:w="2016"/>
            <w:tcMar>
              <w:top w:type="dxa" w:w="70"/>
              <w:left w:type="dxa" w:w="110"/>
              <w:bottom w:type="dxa" w:w="70"/>
              <w:right w:type="dxa" w:w="110"/>
            </w:tcMar>
            <w:vAlign w:val="top"/>
          </w:tcPr>
          <w:p>
            <w:r>
              <w:rPr>
                <w:b w:val="false"/>
                <w:bCs w:val="false"/>
                <w:color w:val="1A1A1A"/>
                <w:sz w:val="12"/>
                <w:szCs w:val="12"/>
              </w:rPr>
              <w:t xml:space="preserve">N/A</w:t>
            </w:r>
          </w:p>
        </w:tc>
        <w:tc>
          <w:tcPr>
            <w:tcW w:type="dxa" w:w="3024"/>
            <w:tcMar>
              <w:top w:type="dxa" w:w="70"/>
              <w:left w:type="dxa" w:w="110"/>
              <w:bottom w:type="dxa" w:w="70"/>
              <w:right w:type="dxa" w:w="110"/>
            </w:tcMar>
            <w:vAlign w:val="top"/>
          </w:tcPr>
          <w:p>
            <w:r>
              <w:rPr>
                <w:b w:val="false"/>
                <w:bCs w:val="false"/>
                <w:color w:val="1A1A1A"/>
                <w:sz w:val="12"/>
                <w:szCs w:val="12"/>
              </w:rPr>
              <w:t xml:space="preserve">Not Ready — pending Stage 7</w:t>
            </w:r>
          </w:p>
        </w:tc>
      </w:tr>
    </w:tbl>
    <w:p>
      <w:pPr>
        <w:pStyle w:val="Heading1"/>
        <w:pBdr>
          <w:bottom w:val="single" w:color="D3D7DC" w:sz="4" w:space="4"/>
        </w:pBdr>
        <w:spacing w:after="140" w:before="360"/>
      </w:pPr>
      <w:r>
        <w:rPr>
          <w:b/>
          <w:bCs/>
          <w:color w:val="B23A48"/>
          <w:sz w:val="26"/>
          <w:szCs w:val="26"/>
        </w:rPr>
        <w:t xml:space="preserve">7.4  </w:t>
      </w:r>
      <w:r>
        <w:rPr>
          <w:b/>
          <w:bCs/>
          <w:color w:val="2E3440"/>
          <w:sz w:val="26"/>
          <w:szCs w:val="26"/>
        </w:rPr>
        <w:t xml:space="preserve">Structural Consistency Audit — WP-01 Through WP-20</w:t>
      </w:r>
    </w:p>
    <w:p>
      <w:pPr>
        <w:spacing w:after="150" w:line="276"/>
        <w:jc w:val="both"/>
      </w:pPr>
      <w:r>
        <w:t xml:space="preserve">All twenty documented Work Packages carry a Section 21 with the identical ten-element structure defined in Section 7.2 above, with every element populated by content specific to that Work Package rather than boilerplate. No documented Work Package is missing an element. This is a full pass — twenty of twenty.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F0E4" w:sz="2"/>
              <w:left w:val="single" w:color="4C7A3F" w:sz="24"/>
              <w:bottom w:val="single" w:color="E6F0E4" w:sz="2"/>
              <w:right w:val="single" w:color="E6F0E4" w:sz="2"/>
            </w:tcBorders>
            <w:shd w:fill="E6F0E4" w:val="clear"/>
            <w:tcMar>
              <w:top w:type="dxa" w:w="120"/>
              <w:left w:type="dxa" w:w="180"/>
              <w:bottom w:type="dxa" w:w="120"/>
              <w:right w:type="dxa" w:w="180"/>
            </w:tcMar>
          </w:tcPr>
          <w:p>
            <w:pPr>
              <w:spacing w:after="60"/>
            </w:pPr>
            <w:r>
              <w:rPr>
                <w:b/>
                <w:bCs/>
                <w:color w:val="4C7A3F"/>
                <w:sz w:val="17"/>
                <w:szCs w:val="17"/>
              </w:rPr>
              <w:t xml:space="preserve">BEST PRACTICE</w:t>
            </w:r>
          </w:p>
          <w:p>
            <w:pPr>
              <w:spacing w:after="0"/>
            </w:pPr>
            <w:r>
              <w:rPr>
                <w:sz w:val="18"/>
                <w:szCs w:val="18"/>
              </w:rPr>
              <w:t xml:space="preserve">Structural consistency was achievable because all twenty Work Packages were built from the same standing template (EWPL Part 3) rather than independently. This is the direct payoff of fixing a template before generating instances — the same discipline that made the MEKB's twenty-five Work Packages, the ERS's five releases, and this library's twenty Work Packages mutually traceable rather than independently drifting documents.</w:t>
            </w:r>
          </w:p>
        </w:tc>
      </w:tr>
    </w:tbl>
    <w:p>
      <w:pPr>
        <w:pStyle w:val="Heading1"/>
        <w:pBdr>
          <w:bottom w:val="single" w:color="D3D7DC" w:sz="4" w:space="4"/>
        </w:pBdr>
        <w:spacing w:after="140" w:before="360"/>
      </w:pPr>
      <w:r>
        <w:rPr>
          <w:b/>
          <w:bCs/>
          <w:color w:val="B23A48"/>
          <w:sz w:val="26"/>
          <w:szCs w:val="26"/>
        </w:rPr>
        <w:t xml:space="preserve">7.5  </w:t>
      </w:r>
      <w:r>
        <w:rPr>
          <w:b/>
          <w:bCs/>
          <w:color w:val="2E3440"/>
          <w:sz w:val="26"/>
          <w:szCs w:val="26"/>
        </w:rPr>
        <w:t xml:space="preserve">Content Consistency Finding — Dedicated Review Cross-Referencing</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Report a specific, low-severity documentation gap discovered during this audit.</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Demonstrates that this review is a genuine audit, not a formality — findings, not just a clean bill of health, are what make a readiness review trustworthy.</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Eight documented Work Packages (WP-01, 02, 03, 04, 05, 11, 12, 15) are flagged 'Dedicated' Security Architect review in the Enterprise Development Roadmap's Work Package Review &amp; Approval Matrix. Of these, only three (WP-05, WP-12, WP-15) explicitly restate this designation by name in their own Section 21.</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The gap is fixed at negligible cost, or consciously accepted with its residual risk understood.</w:t>
            </w:r>
          </w:p>
        </w:tc>
      </w:tr>
    </w:tbl>
    <w:p>
      <w:pPr>
        <w:spacing w:after="160"/>
      </w:pPr>
    </w:p>
    <w:p>
      <w:pPr>
        <w:spacing w:after="150" w:line="276"/>
        <w:jc w:val="both"/>
      </w:pPr>
      <w:r>
        <w:t xml:space="preserve">WP-01, WP-02, WP-03, WP-04, and WP-11 each describe strong, specific security controls in their own Section 10 and Section 21 — this is not a governance gap, since the Enterprise Development Roadmap's review matrix remains the authoritative source that triggers Dedicated Security Architect review regardless of what any individual Work Package document says about itself. It is, however, a documentation completeness gap: an engineer or Antigravity session reading only one of these five Work Packages in isolation, without cross-referencing the EDR, would not learn from that document alone that Dedicated review applies.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0F2" w:sz="2"/>
              <w:left w:val="single" w:color="2E3440" w:sz="24"/>
              <w:bottom w:val="single" w:color="EEF0F2" w:sz="2"/>
              <w:right w:val="single" w:color="EEF0F2" w:sz="2"/>
            </w:tcBorders>
            <w:shd w:fill="EEF0F2" w:val="clear"/>
            <w:tcMar>
              <w:top w:type="dxa" w:w="120"/>
              <w:left w:type="dxa" w:w="180"/>
              <w:bottom w:type="dxa" w:w="120"/>
              <w:right w:type="dxa" w:w="180"/>
            </w:tcMar>
          </w:tcPr>
          <w:p>
            <w:pPr>
              <w:spacing w:after="60"/>
            </w:pPr>
            <w:r>
              <w:rPr>
                <w:b/>
                <w:bCs/>
                <w:color w:val="2E3440"/>
                <w:sz w:val="17"/>
                <w:szCs w:val="17"/>
              </w:rPr>
              <w:t xml:space="preserve">RECOMMENDATION</w:t>
            </w:r>
          </w:p>
          <w:p>
            <w:pPr>
              <w:spacing w:after="0"/>
            </w:pPr>
            <w:r>
              <w:rPr>
                <w:sz w:val="18"/>
                <w:szCs w:val="18"/>
              </w:rPr>
              <w:t xml:space="preserve">Add one line to the Security Controls row of Section 21 in WP-01, WP-02, WP-03, WP-04, and WP-11, matching the phrasing already used in WP-05, WP-12, and WP-15: 'This Work Package requires Dedicated Security Architect review per the Enterprise Development Roadmap's Work Package Review &amp; Approval Matrix.' This is a five-file, single-line edit, not a rebuild, and can be actioned as a fast follow-up without reopening any other section of those documents.</w:t>
            </w:r>
          </w:p>
        </w:tc>
      </w:tr>
    </w:tbl>
    <w:p>
      <w:pPr>
        <w:pStyle w:val="Heading1"/>
        <w:pBdr>
          <w:bottom w:val="single" w:color="D3D7DC" w:sz="4" w:space="4"/>
        </w:pBdr>
        <w:spacing w:after="140" w:before="360"/>
      </w:pPr>
      <w:r>
        <w:rPr>
          <w:b/>
          <w:bCs/>
          <w:color w:val="B23A48"/>
          <w:sz w:val="26"/>
          <w:szCs w:val="26"/>
        </w:rPr>
        <w:t xml:space="preserve">7.6  </w:t>
      </w:r>
      <w:r>
        <w:rPr>
          <w:b/>
          <w:bCs/>
          <w:color w:val="2E3440"/>
          <w:sz w:val="26"/>
          <w:szCs w:val="26"/>
        </w:rPr>
        <w:t xml:space="preserve">Outstanding Work — WP-21 Through WP-25</w:t>
      </w:r>
    </w:p>
    <w:p>
      <w:pPr>
        <w:spacing w:after="150" w:line="276"/>
        <w:jc w:val="both"/>
      </w:pPr>
      <w:r>
        <w:t xml:space="preserve">Five Work Packages — WP-21 Help Desk, WP-22 Public Portal, WP-23 AI Assistant, WP-24 Quality Engineering &amp; Release Readiness, and WP-25 Documentation/ADR/Traceability Closeout — do not yet have individual implementation documents in this library. Their identity, dependencies, sequencing rationale, and critical-path status are already fully documented in Parts 5 and 6, but none of the five has a Section 21 Antigravity Implementation Package yet, because none has an individual Work Package document yet. Three of these five (WP-22, WP-23, WP-24) are flagged Dedicated review in the EDR matrix, the same tier as WP-05, WP-12, and WP-15 — when built, they should be held to the same explicit-flagging standard identified as a gap in Section 7.5.</w:t>
      </w:r>
    </w:p>
    <w:p>
      <w:pPr>
        <w:pStyle w:val="Heading1"/>
        <w:pBdr>
          <w:bottom w:val="single" w:color="D3D7DC" w:sz="4" w:space="4"/>
        </w:pBdr>
        <w:spacing w:after="140" w:before="360"/>
      </w:pPr>
      <w:r>
        <w:rPr>
          <w:b/>
          <w:bCs/>
          <w:color w:val="B23A48"/>
          <w:sz w:val="26"/>
          <w:szCs w:val="26"/>
        </w:rPr>
        <w:t xml:space="preserve">7.7  </w:t>
      </w:r>
      <w:r>
        <w:rPr>
          <w:b/>
          <w:bCs/>
          <w:color w:val="2E3440"/>
          <w:sz w:val="26"/>
          <w:szCs w:val="26"/>
        </w:rPr>
        <w:t xml:space="preserve">Overall Determination</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shd w:fill="2E3440" w:val="clear"/>
            <w:tcMar>
              <w:top w:type="dxa" w:w="70"/>
              <w:left w:type="dxa" w:w="110"/>
              <w:bottom w:type="dxa" w:w="70"/>
              <w:right w:type="dxa" w:w="110"/>
            </w:tcMar>
            <w:vAlign w:val="top"/>
          </w:tcPr>
          <w:p>
            <w:r>
              <w:rPr>
                <w:b/>
                <w:bCs/>
                <w:color w:val="FFFFFF"/>
                <w:sz w:val="17"/>
                <w:szCs w:val="17"/>
              </w:rPr>
              <w:t xml:space="preserve">Category</w:t>
            </w:r>
          </w:p>
        </w:tc>
        <w:tc>
          <w:tcPr>
            <w:tcW w:type="dxa" w:w="6451"/>
            <w:shd w:fill="2E3440" w:val="clear"/>
            <w:tcMar>
              <w:top w:type="dxa" w:w="70"/>
              <w:left w:type="dxa" w:w="110"/>
              <w:bottom w:type="dxa" w:w="70"/>
              <w:right w:type="dxa" w:w="110"/>
            </w:tcMar>
            <w:vAlign w:val="top"/>
          </w:tcPr>
          <w:p>
            <w:r>
              <w:rPr>
                <w:b/>
                <w:bCs/>
                <w:color w:val="FFFFFF"/>
                <w:sz w:val="17"/>
                <w:szCs w:val="17"/>
              </w:rPr>
              <w:t xml:space="preserve">Result</w:t>
            </w:r>
          </w:p>
        </w:tc>
      </w:tr>
      <w:tr>
        <w:tc>
          <w:tcPr>
            <w:tcW w:type="dxa" w:w="3629"/>
            <w:tcMar>
              <w:top w:type="dxa" w:w="70"/>
              <w:left w:type="dxa" w:w="110"/>
              <w:bottom w:type="dxa" w:w="70"/>
              <w:right w:type="dxa" w:w="110"/>
            </w:tcMar>
            <w:vAlign w:val="top"/>
          </w:tcPr>
          <w:p>
            <w:r>
              <w:rPr>
                <w:b/>
                <w:bCs/>
                <w:color w:val="1A1A1A"/>
                <w:sz w:val="13"/>
                <w:szCs w:val="13"/>
              </w:rPr>
              <w:t xml:space="preserve">Work Packages fully Antigravity-ready today</w:t>
            </w:r>
          </w:p>
        </w:tc>
        <w:tc>
          <w:tcPr>
            <w:tcW w:type="dxa" w:w="6451"/>
            <w:tcMar>
              <w:top w:type="dxa" w:w="70"/>
              <w:left w:type="dxa" w:w="110"/>
              <w:bottom w:type="dxa" w:w="70"/>
              <w:right w:type="dxa" w:w="110"/>
            </w:tcMar>
            <w:vAlign w:val="top"/>
          </w:tcPr>
          <w:p>
            <w:r>
              <w:rPr>
                <w:b w:val="false"/>
                <w:bCs w:val="false"/>
                <w:color w:val="1A1A1A"/>
                <w:sz w:val="13"/>
                <w:szCs w:val="13"/>
              </w:rPr>
              <w:t xml:space="preserve">15 of 25 (60%) — WP-05, 06, 07, 08, 09, 10, 12, 13, 14, 15, 16, 17, 18, 19, 20</w:t>
            </w:r>
          </w:p>
        </w:tc>
      </w:tr>
      <w:tr>
        <w:tc>
          <w:tcPr>
            <w:tcW w:type="dxa" w:w="3629"/>
            <w:tcMar>
              <w:top w:type="dxa" w:w="70"/>
              <w:left w:type="dxa" w:w="110"/>
              <w:bottom w:type="dxa" w:w="70"/>
              <w:right w:type="dxa" w:w="110"/>
            </w:tcMar>
            <w:vAlign w:val="top"/>
          </w:tcPr>
          <w:p>
            <w:r>
              <w:rPr>
                <w:b/>
                <w:bCs/>
                <w:color w:val="1A1A1A"/>
                <w:sz w:val="13"/>
                <w:szCs w:val="13"/>
              </w:rPr>
              <w:t xml:space="preserve">Work Packages ready with a recommended low-severity fix</w:t>
            </w:r>
          </w:p>
        </w:tc>
        <w:tc>
          <w:tcPr>
            <w:tcW w:type="dxa" w:w="6451"/>
            <w:tcMar>
              <w:top w:type="dxa" w:w="70"/>
              <w:left w:type="dxa" w:w="110"/>
              <w:bottom w:type="dxa" w:w="70"/>
              <w:right w:type="dxa" w:w="110"/>
            </w:tcMar>
            <w:vAlign w:val="top"/>
          </w:tcPr>
          <w:p>
            <w:r>
              <w:rPr>
                <w:b w:val="false"/>
                <w:bCs w:val="false"/>
                <w:color w:val="1A1A1A"/>
                <w:sz w:val="13"/>
                <w:szCs w:val="13"/>
              </w:rPr>
              <w:t xml:space="preserve">5 of 25 (20%) — WP-01, 02, 03, 04, 11 (documentation cross-reference gap only, no rebuild required)</w:t>
            </w:r>
          </w:p>
        </w:tc>
      </w:tr>
      <w:tr>
        <w:tc>
          <w:tcPr>
            <w:tcW w:type="dxa" w:w="3629"/>
            <w:tcMar>
              <w:top w:type="dxa" w:w="70"/>
              <w:left w:type="dxa" w:w="110"/>
              <w:bottom w:type="dxa" w:w="70"/>
              <w:right w:type="dxa" w:w="110"/>
            </w:tcMar>
            <w:vAlign w:val="top"/>
          </w:tcPr>
          <w:p>
            <w:r>
              <w:rPr>
                <w:b/>
                <w:bCs/>
                <w:color w:val="1A1A1A"/>
                <w:sz w:val="13"/>
                <w:szCs w:val="13"/>
              </w:rPr>
              <w:t xml:space="preserve">Work Packages not yet documented</w:t>
            </w:r>
          </w:p>
        </w:tc>
        <w:tc>
          <w:tcPr>
            <w:tcW w:type="dxa" w:w="6451"/>
            <w:tcMar>
              <w:top w:type="dxa" w:w="70"/>
              <w:left w:type="dxa" w:w="110"/>
              <w:bottom w:type="dxa" w:w="70"/>
              <w:right w:type="dxa" w:w="110"/>
            </w:tcMar>
            <w:vAlign w:val="top"/>
          </w:tcPr>
          <w:p>
            <w:r>
              <w:rPr>
                <w:b w:val="false"/>
                <w:bCs w:val="false"/>
                <w:color w:val="1A1A1A"/>
                <w:sz w:val="13"/>
                <w:szCs w:val="13"/>
              </w:rPr>
              <w:t xml:space="preserve">5 of 25 (20%) — WP-21 through WP-25, pending Stage 7</w:t>
            </w:r>
          </w:p>
        </w:tc>
      </w:tr>
      <w:tr>
        <w:tc>
          <w:tcPr>
            <w:tcW w:type="dxa" w:w="3629"/>
            <w:tcMar>
              <w:top w:type="dxa" w:w="70"/>
              <w:left w:type="dxa" w:w="110"/>
              <w:bottom w:type="dxa" w:w="70"/>
              <w:right w:type="dxa" w:w="110"/>
            </w:tcMar>
            <w:vAlign w:val="top"/>
          </w:tcPr>
          <w:p>
            <w:r>
              <w:rPr>
                <w:b/>
                <w:bCs/>
                <w:color w:val="1A1A1A"/>
                <w:sz w:val="13"/>
                <w:szCs w:val="13"/>
              </w:rPr>
              <w:t xml:space="preserve">Overall Library Determination</w:t>
            </w:r>
          </w:p>
        </w:tc>
        <w:tc>
          <w:tcPr>
            <w:tcW w:type="dxa" w:w="6451"/>
            <w:tcMar>
              <w:top w:type="dxa" w:w="70"/>
              <w:left w:type="dxa" w:w="110"/>
              <w:bottom w:type="dxa" w:w="70"/>
              <w:right w:type="dxa" w:w="110"/>
            </w:tcMar>
            <w:vAlign w:val="top"/>
          </w:tcPr>
          <w:p>
            <w:r>
              <w:rPr>
                <w:b w:val="false"/>
                <w:bCs w:val="false"/>
                <w:color w:val="1A1A1A"/>
                <w:sz w:val="13"/>
                <w:szCs w:val="13"/>
              </w:rPr>
              <w:t xml:space="preserve">CONDITIONAL READY — the twenty documented Work Packages can be handed to Antigravity today; the five-file cross-reference gap should be closed before WP-01/02/03/04/11 are scheduled; WP-21 through WP-25 cannot be handed to Antigravity until they are built.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This determination follows the same honest, three-tier readiness discipline established in MEKB Part 15 — Ready, Ready-with-fix, and Not-yet-documented — rather than a binary pass/fail that would either overstate the twenty completed Work Packages' remaining gap or understate their substantial completeness.</w:t>
            </w:r>
          </w:p>
        </w:tc>
      </w:tr>
    </w:tbl>
    <w:p>
      <w:pPr>
        <w:pStyle w:val="Heading1"/>
        <w:pBdr>
          <w:bottom w:val="single" w:color="D3D7DC" w:sz="4" w:space="4"/>
        </w:pBdr>
        <w:spacing w:after="140" w:before="360"/>
      </w:pPr>
      <w:r>
        <w:rPr>
          <w:b/>
          <w:bCs/>
          <w:color w:val="B23A48"/>
          <w:sz w:val="26"/>
          <w:szCs w:val="26"/>
        </w:rPr>
        <w:t xml:space="preserve">7.8  </w:t>
      </w:r>
      <w:r>
        <w:rPr>
          <w:b/>
          <w:bCs/>
          <w:color w:val="2E3440"/>
          <w:sz w:val="26"/>
          <w:szCs w:val="26"/>
        </w:rPr>
        <w:t xml:space="preserve">Recommendation</w:t>
      </w:r>
    </w:p>
    <w:p>
      <w:pPr>
        <w:spacing w:after="150" w:line="276"/>
        <w:jc w:val="both"/>
      </w:pPr>
      <w:r>
        <w:t xml:space="preserve">Before assigning any Work Package to an Antigravity session, the assigning Technical Lead should confirm its status in Section 7.3 of this review. A Work Package marked 'Fully Ready' can be handed over immediately. A Work Package marked 'Ready, with documentation gap' can also be handed over immediately, provided the Technical Lead manually confirms Dedicated Security Architect review is scheduled per the EDR matrix, pending the Section 7.5 fix. No Work Package marked 'Not Ready' should be assigned until its individual implementation document exists.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2E3440"/>
      <w:sz w:val="26"/>
      <w:szCs w:val="26"/>
    </w:rPr>
  </w:style>
  <w:style w:type="paragraph" w:styleId="Heading2">
    <w:name w:val="Heading 2"/>
    <w:basedOn w:val="Normal"/>
    <w:next w:val="Normal"/>
    <w:qFormat/>
    <w:pPr>
      <w:spacing w:after="110" w:before="240"/>
    </w:pPr>
    <w:rPr>
      <w:rFonts w:ascii="Calibri" w:cs="Calibri" w:eastAsia="Calibri" w:hAnsi="Calibri"/>
      <w:b/>
      <w:bCs/>
      <w:color w:val="2E34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2026-07-20T17:16:35.107Z</dcterms:created>
  <dcterms:modified xsi:type="dcterms:W3CDTF">2026-07-20T17:16:35.107Z</dcterms:modified>
</cp:coreProperties>
</file>

<file path=docProps/custom.xml><?xml version="1.0" encoding="utf-8"?>
<Properties xmlns="http://schemas.openxmlformats.org/officeDocument/2006/custom-properties" xmlns:vt="http://schemas.openxmlformats.org/officeDocument/2006/docPropsVTypes"/>
</file>