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b/>
          <w:bCs/>
          <w:caps/>
          <w:color w:val="B23A48"/>
          <w:sz w:val="20"/>
          <w:szCs w:val="20"/>
        </w:rPr>
        <w:t xml:space="preserve">VOLUME IV — ENTERPRISE ENGINEERING WORK PACKAGE LIBRARY (EWPL)</w:t>
      </w:r>
    </w:p>
    <w:p>
      <w:pPr>
        <w:spacing w:after="260"/>
        <w:jc w:val="center"/>
      </w:pPr>
      <w:r>
        <w:rPr>
          <w:b/>
          <w:bCs/>
          <w:color w:val="1A1D21"/>
          <w:sz w:val="28"/>
          <w:szCs w:val="28"/>
        </w:rPr>
        <w:t xml:space="preserve">WP-01</w:t>
      </w:r>
    </w:p>
    <w:p>
      <w:pPr>
        <w:pBdr>
          <w:bottom w:val="single" w:color="2E3440" w:sz="14" w:space="10"/>
        </w:pBdr>
        <w:spacing w:after="160"/>
        <w:jc w:val="center"/>
      </w:pPr>
      <w:r>
        <w:rPr>
          <w:b/>
          <w:bCs/>
          <w:color w:val="1A1D21"/>
          <w:sz w:val="40"/>
          <w:szCs w:val="40"/>
        </w:rPr>
        <w:t xml:space="preserve">Platform Database Foundation</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Implementation-Ready Engineering Work Package — Release 1, Sprint 1</w:t>
      </w:r>
    </w:p>
    <w:p>
      <w:r>
        <w:br w:type="page"/>
      </w:r>
    </w:p>
    <w:p>
      <w:pPr>
        <w:spacing w:after="40"/>
        <w:jc w:val="left"/>
      </w:pPr>
      <w:r>
        <w:rPr>
          <w:b/>
          <w:bCs/>
          <w:caps/>
          <w:color w:val="B23A48"/>
          <w:sz w:val="22"/>
          <w:szCs w:val="22"/>
        </w:rPr>
        <w:t xml:space="preserve">WP-01</w:t>
      </w:r>
    </w:p>
    <w:p>
      <w:pPr>
        <w:pBdr>
          <w:bottom w:val="single" w:color="2E3440" w:sz="12" w:space="8"/>
        </w:pBdr>
        <w:spacing w:after="200"/>
        <w:jc w:val="left"/>
      </w:pPr>
      <w:r>
        <w:rPr>
          <w:b/>
          <w:bCs/>
          <w:color w:val="1A1D21"/>
          <w:sz w:val="40"/>
          <w:szCs w:val="40"/>
        </w:rPr>
        <w:t xml:space="preserve">Platform Database Foundation</w:t>
      </w:r>
    </w:p>
    <w:p>
      <w:pPr>
        <w:spacing w:after="90" w:before="180"/>
      </w:pPr>
      <w:r>
        <w:rPr>
          <w:b/>
          <w:bCs/>
          <w:color w:val="1A1D21"/>
          <w:sz w:val="19"/>
          <w:szCs w:val="19"/>
        </w:rPr>
        <w:t xml:space="preserve">Work Package Profile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7056"/>
      </w:tblGrid>
      <w:tr>
        <w:trPr>
          <w:tblHeader/>
        </w:trPr>
        <w:tc>
          <w:tcPr>
            <w:tcW w:type="dxa" w:w="3024"/>
            <w:shd w:fill="2E3440" w:val="clear"/>
            <w:tcMar>
              <w:top w:type="dxa" w:w="70"/>
              <w:left w:type="dxa" w:w="110"/>
              <w:bottom w:type="dxa" w:w="70"/>
              <w:right w:type="dxa" w:w="110"/>
            </w:tcMar>
            <w:vAlign w:val="top"/>
          </w:tcPr>
          <w:p>
            <w:r>
              <w:rPr>
                <w:b/>
                <w:bCs/>
                <w:color w:val="FFFFFF"/>
                <w:sz w:val="17"/>
                <w:szCs w:val="17"/>
              </w:rPr>
              <w:t xml:space="preserve">Field</w:t>
            </w:r>
          </w:p>
        </w:tc>
        <w:tc>
          <w:tcPr>
            <w:tcW w:type="dxa" w:w="7056"/>
            <w:shd w:fill="2E3440" w:val="clear"/>
            <w:tcMar>
              <w:top w:type="dxa" w:w="70"/>
              <w:left w:type="dxa" w:w="110"/>
              <w:bottom w:type="dxa" w:w="70"/>
              <w:right w:type="dxa" w:w="110"/>
            </w:tcMar>
            <w:vAlign w:val="top"/>
          </w:tcPr>
          <w:p>
            <w:r>
              <w:rPr>
                <w:b/>
                <w:bCs/>
                <w:color w:val="FFFFFF"/>
                <w:sz w:val="17"/>
                <w:szCs w:val="17"/>
              </w:rPr>
              <w:t xml:space="preserve">Value</w:t>
            </w:r>
          </w:p>
        </w:tc>
      </w:tr>
      <w:tr>
        <w:tc>
          <w:tcPr>
            <w:tcW w:type="dxa" w:w="3024"/>
            <w:tcMar>
              <w:top w:type="dxa" w:w="70"/>
              <w:left w:type="dxa" w:w="110"/>
              <w:bottom w:type="dxa" w:w="70"/>
              <w:right w:type="dxa" w:w="110"/>
            </w:tcMar>
            <w:vAlign w:val="top"/>
          </w:tcPr>
          <w:p>
            <w:r>
              <w:rPr>
                <w:b/>
                <w:bCs/>
                <w:color w:val="1A1A1A"/>
                <w:sz w:val="16"/>
                <w:szCs w:val="16"/>
              </w:rPr>
              <w:t xml:space="preserve">Work Package ID</w:t>
            </w:r>
          </w:p>
        </w:tc>
        <w:tc>
          <w:tcPr>
            <w:tcW w:type="dxa" w:w="7056"/>
            <w:tcMar>
              <w:top w:type="dxa" w:w="70"/>
              <w:left w:type="dxa" w:w="110"/>
              <w:bottom w:type="dxa" w:w="70"/>
              <w:right w:type="dxa" w:w="110"/>
            </w:tcMar>
            <w:vAlign w:val="top"/>
          </w:tcPr>
          <w:p>
            <w:r>
              <w:rPr>
                <w:b w:val="false"/>
                <w:bCs w:val="false"/>
                <w:color w:val="1A1A1A"/>
                <w:sz w:val="16"/>
                <w:szCs w:val="16"/>
              </w:rPr>
              <w:t xml:space="preserve">WP-01</w:t>
            </w:r>
          </w:p>
        </w:tc>
      </w:tr>
      <w:tr>
        <w:tc>
          <w:tcPr>
            <w:tcW w:type="dxa" w:w="3024"/>
            <w:tcMar>
              <w:top w:type="dxa" w:w="70"/>
              <w:left w:type="dxa" w:w="110"/>
              <w:bottom w:type="dxa" w:w="70"/>
              <w:right w:type="dxa" w:w="110"/>
            </w:tcMar>
            <w:vAlign w:val="top"/>
          </w:tcPr>
          <w:p>
            <w:r>
              <w:rPr>
                <w:b/>
                <w:bCs/>
                <w:color w:val="1A1A1A"/>
                <w:sz w:val="16"/>
                <w:szCs w:val="16"/>
              </w:rPr>
              <w:t xml:space="preserve">Business Capability</w:t>
            </w:r>
          </w:p>
        </w:tc>
        <w:tc>
          <w:tcPr>
            <w:tcW w:type="dxa" w:w="7056"/>
            <w:tcMar>
              <w:top w:type="dxa" w:w="70"/>
              <w:left w:type="dxa" w:w="110"/>
              <w:bottom w:type="dxa" w:w="70"/>
              <w:right w:type="dxa" w:w="110"/>
            </w:tcMar>
            <w:vAlign w:val="top"/>
          </w:tcPr>
          <w:p>
            <w:r>
              <w:rPr>
                <w:b w:val="false"/>
                <w:bCs w:val="false"/>
                <w:color w:val="1A1A1A"/>
                <w:sz w:val="16"/>
                <w:szCs w:val="16"/>
              </w:rPr>
              <w:t xml:space="preserve">Platform Data Backbone</w:t>
            </w:r>
          </w:p>
        </w:tc>
      </w:tr>
      <w:tr>
        <w:tc>
          <w:tcPr>
            <w:tcW w:type="dxa" w:w="3024"/>
            <w:tcMar>
              <w:top w:type="dxa" w:w="70"/>
              <w:left w:type="dxa" w:w="110"/>
              <w:bottom w:type="dxa" w:w="70"/>
              <w:right w:type="dxa" w:w="110"/>
            </w:tcMar>
            <w:vAlign w:val="top"/>
          </w:tcPr>
          <w:p>
            <w:r>
              <w:rPr>
                <w:b/>
                <w:bCs/>
                <w:color w:val="1A1A1A"/>
                <w:sz w:val="16"/>
                <w:szCs w:val="16"/>
              </w:rPr>
              <w:t xml:space="preserve">Engineering Domain</w:t>
            </w:r>
          </w:p>
        </w:tc>
        <w:tc>
          <w:tcPr>
            <w:tcW w:type="dxa" w:w="7056"/>
            <w:tcMar>
              <w:top w:type="dxa" w:w="70"/>
              <w:left w:type="dxa" w:w="110"/>
              <w:bottom w:type="dxa" w:w="70"/>
              <w:right w:type="dxa" w:w="110"/>
            </w:tcMar>
            <w:vAlign w:val="top"/>
          </w:tcPr>
          <w:p>
            <w:r>
              <w:rPr>
                <w:b w:val="false"/>
                <w:bCs w:val="false"/>
                <w:color w:val="1A1A1A"/>
                <w:sz w:val="16"/>
                <w:szCs w:val="16"/>
              </w:rPr>
              <w:t xml:space="preserve">Database (MEKB Part 2)</w:t>
            </w:r>
          </w:p>
        </w:tc>
      </w:tr>
      <w:tr>
        <w:tc>
          <w:tcPr>
            <w:tcW w:type="dxa" w:w="3024"/>
            <w:tcMar>
              <w:top w:type="dxa" w:w="70"/>
              <w:left w:type="dxa" w:w="110"/>
              <w:bottom w:type="dxa" w:w="70"/>
              <w:right w:type="dxa" w:w="110"/>
            </w:tcMar>
            <w:vAlign w:val="top"/>
          </w:tcPr>
          <w:p>
            <w:r>
              <w:rPr>
                <w:b/>
                <w:bCs/>
                <w:color w:val="1A1A1A"/>
                <w:sz w:val="16"/>
                <w:szCs w:val="16"/>
              </w:rPr>
              <w:t xml:space="preserve">ERS Release / Sprint</w:t>
            </w:r>
          </w:p>
        </w:tc>
        <w:tc>
          <w:tcPr>
            <w:tcW w:type="dxa" w:w="7056"/>
            <w:tcMar>
              <w:top w:type="dxa" w:w="70"/>
              <w:left w:type="dxa" w:w="110"/>
              <w:bottom w:type="dxa" w:w="70"/>
              <w:right w:type="dxa" w:w="110"/>
            </w:tcMar>
            <w:vAlign w:val="top"/>
          </w:tcPr>
          <w:p>
            <w:r>
              <w:rPr>
                <w:b w:val="false"/>
                <w:bCs w:val="false"/>
                <w:color w:val="1A1A1A"/>
                <w:sz w:val="16"/>
                <w:szCs w:val="16"/>
              </w:rPr>
              <w:t xml:space="preserve">Release 1 / Sprint 1</w:t>
            </w:r>
          </w:p>
        </w:tc>
      </w:tr>
      <w:tr>
        <w:tc>
          <w:tcPr>
            <w:tcW w:type="dxa" w:w="3024"/>
            <w:tcMar>
              <w:top w:type="dxa" w:w="70"/>
              <w:left w:type="dxa" w:w="110"/>
              <w:bottom w:type="dxa" w:w="70"/>
              <w:right w:type="dxa" w:w="110"/>
            </w:tcMar>
            <w:vAlign w:val="top"/>
          </w:tcPr>
          <w:p>
            <w:r>
              <w:rPr>
                <w:b/>
                <w:bCs/>
                <w:color w:val="1A1A1A"/>
                <w:sz w:val="16"/>
                <w:szCs w:val="16"/>
              </w:rPr>
              <w:t xml:space="preserve">Estimated Story Points</w:t>
            </w:r>
          </w:p>
        </w:tc>
        <w:tc>
          <w:tcPr>
            <w:tcW w:type="dxa" w:w="7056"/>
            <w:tcMar>
              <w:top w:type="dxa" w:w="70"/>
              <w:left w:type="dxa" w:w="110"/>
              <w:bottom w:type="dxa" w:w="70"/>
              <w:right w:type="dxa" w:w="110"/>
            </w:tcMar>
            <w:vAlign w:val="top"/>
          </w:tcPr>
          <w:p>
            <w:r>
              <w:rPr>
                <w:b w:val="false"/>
                <w:bCs w:val="false"/>
                <w:color w:val="1A1A1A"/>
                <w:sz w:val="16"/>
                <w:szCs w:val="16"/>
              </w:rPr>
              <w:t xml:space="preserve">21 (Complexity: High)</w:t>
            </w:r>
          </w:p>
        </w:tc>
      </w:tr>
      <w:tr>
        <w:tc>
          <w:tcPr>
            <w:tcW w:type="dxa" w:w="3024"/>
            <w:tcMar>
              <w:top w:type="dxa" w:w="70"/>
              <w:left w:type="dxa" w:w="110"/>
              <w:bottom w:type="dxa" w:w="70"/>
              <w:right w:type="dxa" w:w="110"/>
            </w:tcMar>
            <w:vAlign w:val="top"/>
          </w:tcPr>
          <w:p>
            <w:r>
              <w:rPr>
                <w:b/>
                <w:bCs/>
                <w:color w:val="1A1A1A"/>
                <w:sz w:val="16"/>
                <w:szCs w:val="16"/>
              </w:rPr>
              <w:t xml:space="preserve">Business / Technical Priority</w:t>
            </w:r>
          </w:p>
        </w:tc>
        <w:tc>
          <w:tcPr>
            <w:tcW w:type="dxa" w:w="7056"/>
            <w:tcMar>
              <w:top w:type="dxa" w:w="70"/>
              <w:left w:type="dxa" w:w="110"/>
              <w:bottom w:type="dxa" w:w="70"/>
              <w:right w:type="dxa" w:w="110"/>
            </w:tcMar>
            <w:vAlign w:val="top"/>
          </w:tcPr>
          <w:p>
            <w:r>
              <w:rPr>
                <w:b w:val="false"/>
                <w:bCs w:val="false"/>
                <w:color w:val="1A1A1A"/>
                <w:sz w:val="16"/>
                <w:szCs w:val="16"/>
              </w:rPr>
              <w:t xml:space="preserve">Critical / Critical</w:t>
            </w:r>
          </w:p>
        </w:tc>
      </w:tr>
      <w:tr>
        <w:tc>
          <w:tcPr>
            <w:tcW w:type="dxa" w:w="3024"/>
            <w:tcMar>
              <w:top w:type="dxa" w:w="70"/>
              <w:left w:type="dxa" w:w="110"/>
              <w:bottom w:type="dxa" w:w="70"/>
              <w:right w:type="dxa" w:w="110"/>
            </w:tcMar>
            <w:vAlign w:val="top"/>
          </w:tcPr>
          <w:p>
            <w:r>
              <w:rPr>
                <w:b/>
                <w:bCs/>
                <w:color w:val="1A1A1A"/>
                <w:sz w:val="16"/>
                <w:szCs w:val="16"/>
              </w:rPr>
              <w:t xml:space="preserve">Dependencies</w:t>
            </w:r>
          </w:p>
        </w:tc>
        <w:tc>
          <w:tcPr>
            <w:tcW w:type="dxa" w:w="7056"/>
            <w:tcMar>
              <w:top w:type="dxa" w:w="70"/>
              <w:left w:type="dxa" w:w="110"/>
              <w:bottom w:type="dxa" w:w="70"/>
              <w:right w:type="dxa" w:w="110"/>
            </w:tcMar>
            <w:vAlign w:val="top"/>
          </w:tcPr>
          <w:p>
            <w:r>
              <w:rPr>
                <w:b w:val="false"/>
                <w:bCs w:val="false"/>
                <w:color w:val="1A1A1A"/>
                <w:sz w:val="16"/>
                <w:szCs w:val="16"/>
              </w:rPr>
              <w:t xml:space="preserve">None — first Work Package on the critical path</w:t>
            </w:r>
          </w:p>
        </w:tc>
      </w:tr>
      <w:tr>
        <w:tc>
          <w:tcPr>
            <w:tcW w:type="dxa" w:w="3024"/>
            <w:tcMar>
              <w:top w:type="dxa" w:w="70"/>
              <w:left w:type="dxa" w:w="110"/>
              <w:bottom w:type="dxa" w:w="70"/>
              <w:right w:type="dxa" w:w="110"/>
            </w:tcMar>
            <w:vAlign w:val="top"/>
          </w:tcPr>
          <w:p>
            <w:r>
              <w:rPr>
                <w:b/>
                <w:bCs/>
                <w:color w:val="1A1A1A"/>
                <w:sz w:val="16"/>
                <w:szCs w:val="16"/>
              </w:rPr>
              <w:t xml:space="preserve">Owner</w:t>
            </w:r>
          </w:p>
        </w:tc>
        <w:tc>
          <w:tcPr>
            <w:tcW w:type="dxa" w:w="7056"/>
            <w:tcMar>
              <w:top w:type="dxa" w:w="70"/>
              <w:left w:type="dxa" w:w="110"/>
              <w:bottom w:type="dxa" w:w="70"/>
              <w:right w:type="dxa" w:w="110"/>
            </w:tcMar>
            <w:vAlign w:val="top"/>
          </w:tcPr>
          <w:p>
            <w:r>
              <w:rPr>
                <w:b w:val="false"/>
                <w:bCs w:val="false"/>
                <w:color w:val="1A1A1A"/>
                <w:sz w:val="16"/>
                <w:szCs w:val="16"/>
              </w:rPr>
              <w:t xml:space="preserve">Data Architect</w:t>
            </w:r>
          </w:p>
        </w:tc>
      </w:tr>
      <w:tr>
        <w:tc>
          <w:tcPr>
            <w:tcW w:type="dxa" w:w="3024"/>
            <w:tcMar>
              <w:top w:type="dxa" w:w="70"/>
              <w:left w:type="dxa" w:w="110"/>
              <w:bottom w:type="dxa" w:w="70"/>
              <w:right w:type="dxa" w:w="110"/>
            </w:tcMar>
            <w:vAlign w:val="top"/>
          </w:tcPr>
          <w:p>
            <w:r>
              <w:rPr>
                <w:b/>
                <w:bCs/>
                <w:color w:val="1A1A1A"/>
                <w:sz w:val="16"/>
                <w:szCs w:val="16"/>
              </w:rPr>
              <w:t xml:space="preserve">Status</w:t>
            </w:r>
          </w:p>
        </w:tc>
        <w:tc>
          <w:tcPr>
            <w:tcW w:type="dxa" w:w="7056"/>
            <w:tcMar>
              <w:top w:type="dxa" w:w="70"/>
              <w:left w:type="dxa" w:w="110"/>
              <w:bottom w:type="dxa" w:w="70"/>
              <w:right w:type="dxa" w:w="110"/>
            </w:tcMar>
            <w:vAlign w:val="top"/>
          </w:tcPr>
          <w:p>
            <w:r>
              <w:rPr>
                <w:b w:val="false"/>
                <w:bCs w:val="false"/>
                <w:color w:val="1A1A1A"/>
                <w:sz w:val="16"/>
                <w:szCs w:val="16"/>
              </w:rPr>
              <w:t xml:space="preserve">Ready — Definition of Ready met</w:t>
            </w:r>
          </w:p>
        </w:tc>
      </w:tr>
    </w:tbl>
    <w:p>
      <w:pPr>
        <w:pStyle w:val="Heading1"/>
        <w:pBdr>
          <w:bottom w:val="single" w:color="D3D7DC" w:sz="4" w:space="4"/>
        </w:pBdr>
        <w:spacing w:after="140" w:before="360"/>
      </w:pPr>
      <w:r>
        <w:rPr>
          <w:b/>
          <w:bCs/>
          <w:color w:val="B23A48"/>
          <w:sz w:val="26"/>
          <w:szCs w:val="26"/>
        </w:rPr>
        <w:t xml:space="preserve">1  </w:t>
      </w:r>
      <w:r>
        <w:rPr>
          <w:b/>
          <w:bCs/>
          <w:color w:val="2E3440"/>
          <w:sz w:val="26"/>
          <w:szCs w:val="26"/>
        </w:rPr>
        <w:t xml:space="preserve">Executive Summary</w:t>
      </w:r>
    </w:p>
    <w:p>
      <w:pPr>
        <w:spacing w:after="90" w:before="180"/>
      </w:pPr>
      <w:r>
        <w:rPr>
          <w:b/>
          <w:bCs/>
          <w:color w:val="1A1D21"/>
          <w:sz w:val="19"/>
          <w:szCs w:val="19"/>
        </w:rPr>
        <w:t xml:space="preserve">Purpose</w:t>
      </w:r>
    </w:p>
    <w:p>
      <w:pPr>
        <w:spacing w:after="150" w:line="276"/>
        <w:jc w:val="both"/>
      </w:pPr>
      <w:r>
        <w:t xml:space="preserve">Establish the platform's single, secure, auditable relational database — the system of record every one of the other twenty-four Work Packages reads and writes through.</w:t>
      </w:r>
    </w:p>
    <w:p>
      <w:pPr>
        <w:spacing w:after="90" w:before="180"/>
      </w:pPr>
      <w:r>
        <w:rPr>
          <w:b/>
          <w:bCs/>
          <w:color w:val="1A1D21"/>
          <w:sz w:val="19"/>
          <w:szCs w:val="19"/>
        </w:rPr>
        <w:t xml:space="preserve">Business Objective</w:t>
      </w:r>
    </w:p>
    <w:p>
      <w:pPr>
        <w:spacing w:after="150" w:line="276"/>
        <w:jc w:val="both"/>
      </w:pPr>
      <w:r>
        <w:t xml:space="preserve">Give the programme a data foundation that never needs to be re-platformed once module development begins, so that donor and government stakeholders can rely on a single, consistent, audit-ready system of record for the life of the platform.</w:t>
      </w:r>
    </w:p>
    <w:p>
      <w:pPr>
        <w:spacing w:after="90" w:before="180"/>
      </w:pPr>
      <w:r>
        <w:rPr>
          <w:b/>
          <w:bCs/>
          <w:color w:val="1A1D21"/>
          <w:sz w:val="19"/>
          <w:szCs w:val="19"/>
        </w:rPr>
        <w:t xml:space="preserve">Expected Business Value</w:t>
      </w:r>
    </w:p>
    <w:p>
      <w:pPr>
        <w:spacing w:after="150" w:line="276"/>
        <w:jc w:val="both"/>
      </w:pPr>
      <w:r>
        <w:t xml:space="preserve">Eliminates the single largest source of rework risk on enterprise platform programmes: retrofitting a shared schema after multiple modules have already been built against inconsistent, ad hoc data assumptions. Every hour spent here is an hour saved, many times over, in every Work Package that follows.</w:t>
      </w:r>
    </w:p>
    <w:p>
      <w:pPr>
        <w:pStyle w:val="Heading1"/>
        <w:pBdr>
          <w:bottom w:val="single" w:color="D3D7DC" w:sz="4" w:space="4"/>
        </w:pBdr>
        <w:spacing w:after="140" w:before="360"/>
      </w:pPr>
      <w:r>
        <w:rPr>
          <w:b/>
          <w:bCs/>
          <w:color w:val="B23A48"/>
          <w:sz w:val="26"/>
          <w:szCs w:val="26"/>
        </w:rPr>
        <w:t xml:space="preserve">2  </w:t>
      </w:r>
      <w:r>
        <w:rPr>
          <w:b/>
          <w:bCs/>
          <w:color w:val="2E3440"/>
          <w:sz w:val="26"/>
          <w:szCs w:val="26"/>
        </w:rPr>
        <w:t xml:space="preserve">Business Context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7661"/>
      </w:tblGrid>
      <w:tr>
        <w:trPr>
          <w:tblHeader/>
        </w:trPr>
        <w:tc>
          <w:tcPr>
            <w:tcW w:type="dxa" w:w="2419"/>
            <w:shd w:fill="2E3440" w:val="clear"/>
            <w:tcMar>
              <w:top w:type="dxa" w:w="70"/>
              <w:left w:type="dxa" w:w="110"/>
              <w:bottom w:type="dxa" w:w="70"/>
              <w:right w:type="dxa" w:w="110"/>
            </w:tcMar>
            <w:vAlign w:val="top"/>
          </w:tcPr>
          <w:p>
            <w:r>
              <w:rPr>
                <w:b/>
                <w:bCs/>
                <w:color w:val="FFFFFF"/>
                <w:sz w:val="17"/>
                <w:szCs w:val="17"/>
              </w:rPr>
              <w:t xml:space="preserve">Field</w:t>
            </w:r>
          </w:p>
        </w:tc>
        <w:tc>
          <w:tcPr>
            <w:tcW w:type="dxa" w:w="7661"/>
            <w:shd w:fill="2E3440" w:val="clear"/>
            <w:tcMar>
              <w:top w:type="dxa" w:w="70"/>
              <w:left w:type="dxa" w:w="110"/>
              <w:bottom w:type="dxa" w:w="70"/>
              <w:right w:type="dxa" w:w="110"/>
            </w:tcMar>
            <w:vAlign w:val="top"/>
          </w:tcPr>
          <w:p>
            <w:r>
              <w:rPr>
                <w:b/>
                <w:bCs/>
                <w:color w:val="FFFFFF"/>
                <w:sz w:val="17"/>
                <w:szCs w:val="17"/>
              </w:rPr>
              <w:t xml:space="preserve">Detail</w:t>
            </w:r>
          </w:p>
        </w:tc>
      </w:tr>
      <w:tr>
        <w:tc>
          <w:tcPr>
            <w:tcW w:type="dxa" w:w="2419"/>
            <w:tcMar>
              <w:top w:type="dxa" w:w="70"/>
              <w:left w:type="dxa" w:w="110"/>
              <w:bottom w:type="dxa" w:w="70"/>
              <w:right w:type="dxa" w:w="110"/>
            </w:tcMar>
            <w:vAlign w:val="top"/>
          </w:tcPr>
          <w:p>
            <w:r>
              <w:rPr>
                <w:b/>
                <w:bCs/>
                <w:color w:val="1A1A1A"/>
                <w:sz w:val="16"/>
                <w:szCs w:val="16"/>
              </w:rPr>
              <w:t xml:space="preserve">Business Capability</w:t>
            </w:r>
          </w:p>
        </w:tc>
        <w:tc>
          <w:tcPr>
            <w:tcW w:type="dxa" w:w="7661"/>
            <w:tcMar>
              <w:top w:type="dxa" w:w="70"/>
              <w:left w:type="dxa" w:w="110"/>
              <w:bottom w:type="dxa" w:w="70"/>
              <w:right w:type="dxa" w:w="110"/>
            </w:tcMar>
            <w:vAlign w:val="top"/>
          </w:tcPr>
          <w:p>
            <w:r>
              <w:rPr>
                <w:b w:val="false"/>
                <w:bCs w:val="false"/>
                <w:color w:val="1A1A1A"/>
                <w:sz w:val="16"/>
                <w:szCs w:val="16"/>
              </w:rPr>
              <w:t xml:space="preserve">Platform Data Backbone — the foundational capability every business capability in the platform depends on.</w:t>
            </w:r>
          </w:p>
        </w:tc>
      </w:tr>
      <w:tr>
        <w:tc>
          <w:tcPr>
            <w:tcW w:type="dxa" w:w="2419"/>
            <w:tcMar>
              <w:top w:type="dxa" w:w="70"/>
              <w:left w:type="dxa" w:w="110"/>
              <w:bottom w:type="dxa" w:w="70"/>
              <w:right w:type="dxa" w:w="110"/>
            </w:tcMar>
            <w:vAlign w:val="top"/>
          </w:tcPr>
          <w:p>
            <w:r>
              <w:rPr>
                <w:b/>
                <w:bCs/>
                <w:color w:val="1A1A1A"/>
                <w:sz w:val="16"/>
                <w:szCs w:val="16"/>
              </w:rPr>
              <w:t xml:space="preserve">Stakeholders</w:t>
            </w:r>
          </w:p>
        </w:tc>
        <w:tc>
          <w:tcPr>
            <w:tcW w:type="dxa" w:w="7661"/>
            <w:tcMar>
              <w:top w:type="dxa" w:w="70"/>
              <w:left w:type="dxa" w:w="110"/>
              <w:bottom w:type="dxa" w:w="70"/>
              <w:right w:type="dxa" w:w="110"/>
            </w:tcMar>
            <w:vAlign w:val="top"/>
          </w:tcPr>
          <w:p>
            <w:r>
              <w:rPr>
                <w:b w:val="false"/>
                <w:bCs w:val="false"/>
                <w:color w:val="1A1A1A"/>
                <w:sz w:val="16"/>
                <w:szCs w:val="16"/>
              </w:rPr>
              <w:t xml:space="preserve">Data Architect (accountable); all 24 downstream Technical Leads (consumers); Security Architect (encryption, audit); DevSecOps Lead (backup/DR, environments); PMO and donor oversight (auditability).</w:t>
            </w:r>
          </w:p>
        </w:tc>
      </w:tr>
      <w:tr>
        <w:tc>
          <w:tcPr>
            <w:tcW w:type="dxa" w:w="2419"/>
            <w:tcMar>
              <w:top w:type="dxa" w:w="70"/>
              <w:left w:type="dxa" w:w="110"/>
              <w:bottom w:type="dxa" w:w="70"/>
              <w:right w:type="dxa" w:w="110"/>
            </w:tcMar>
            <w:vAlign w:val="top"/>
          </w:tcPr>
          <w:p>
            <w:r>
              <w:rPr>
                <w:b/>
                <w:bCs/>
                <w:color w:val="1A1A1A"/>
                <w:sz w:val="16"/>
                <w:szCs w:val="16"/>
              </w:rPr>
              <w:t xml:space="preserve">Business Drivers</w:t>
            </w:r>
          </w:p>
        </w:tc>
        <w:tc>
          <w:tcPr>
            <w:tcW w:type="dxa" w:w="7661"/>
            <w:tcMar>
              <w:top w:type="dxa" w:w="70"/>
              <w:left w:type="dxa" w:w="110"/>
              <w:bottom w:type="dxa" w:w="70"/>
              <w:right w:type="dxa" w:w="110"/>
            </w:tcMar>
            <w:vAlign w:val="top"/>
          </w:tcPr>
          <w:p>
            <w:r>
              <w:rPr>
                <w:b w:val="false"/>
                <w:bCs w:val="false"/>
                <w:color w:val="1A1A1A"/>
                <w:sz w:val="16"/>
                <w:szCs w:val="16"/>
              </w:rPr>
              <w:t xml:space="preserve">IFAD and donor audit requirements for a defensible, tamper-evident system of record; twenty functional modules require a shared, normalized data model rather than per-module silos that would fragment reporting and compromise data integrity.</w:t>
            </w:r>
          </w:p>
        </w:tc>
      </w:tr>
      <w:tr>
        <w:tc>
          <w:tcPr>
            <w:tcW w:type="dxa" w:w="2419"/>
            <w:tcMar>
              <w:top w:type="dxa" w:w="70"/>
              <w:left w:type="dxa" w:w="110"/>
              <w:bottom w:type="dxa" w:w="70"/>
              <w:right w:type="dxa" w:w="110"/>
            </w:tcMar>
            <w:vAlign w:val="top"/>
          </w:tcPr>
          <w:p>
            <w:r>
              <w:rPr>
                <w:b/>
                <w:bCs/>
                <w:color w:val="1A1A1A"/>
                <w:sz w:val="16"/>
                <w:szCs w:val="16"/>
              </w:rPr>
              <w:t xml:space="preserve">Problems Addressed</w:t>
            </w:r>
          </w:p>
        </w:tc>
        <w:tc>
          <w:tcPr>
            <w:tcW w:type="dxa" w:w="7661"/>
            <w:tcMar>
              <w:top w:type="dxa" w:w="70"/>
              <w:left w:type="dxa" w:w="110"/>
              <w:bottom w:type="dxa" w:w="70"/>
              <w:right w:type="dxa" w:w="110"/>
            </w:tcMar>
            <w:vAlign w:val="top"/>
          </w:tcPr>
          <w:p>
            <w:r>
              <w:rPr>
                <w:b w:val="false"/>
                <w:bCs w:val="false"/>
                <w:color w:val="1A1A1A"/>
                <w:sz w:val="16"/>
                <w:szCs w:val="16"/>
              </w:rPr>
              <w:t xml:space="preserve">Prevents duplicate or conflicting data models emerging independently across twenty-five Work Packages; establishes referential integrity, audit trail, and backup/disaster-recovery posture before any real business data exists.</w:t>
            </w:r>
          </w:p>
        </w:tc>
      </w:tr>
    </w:tbl>
    <w:p>
      <w:pPr>
        <w:pStyle w:val="Heading1"/>
        <w:pBdr>
          <w:bottom w:val="single" w:color="D3D7DC" w:sz="4" w:space="4"/>
        </w:pBdr>
        <w:spacing w:after="140" w:before="360"/>
      </w:pPr>
      <w:r>
        <w:rPr>
          <w:b/>
          <w:bCs/>
          <w:color w:val="B23A48"/>
          <w:sz w:val="26"/>
          <w:szCs w:val="26"/>
        </w:rPr>
        <w:t xml:space="preserve">3  </w:t>
      </w:r>
      <w:r>
        <w:rPr>
          <w:b/>
          <w:bCs/>
          <w:color w:val="2E3440"/>
          <w:sz w:val="26"/>
          <w:szCs w:val="26"/>
        </w:rPr>
        <w:t xml:space="preserve">Scope</w:t>
      </w:r>
    </w:p>
    <w:p>
      <w:pPr>
        <w:spacing w:after="90" w:before="180"/>
      </w:pPr>
      <w:r>
        <w:rPr>
          <w:b/>
          <w:bCs/>
          <w:color w:val="1A1D21"/>
          <w:sz w:val="19"/>
          <w:szCs w:val="19"/>
        </w:rPr>
        <w:t xml:space="preserve">In Scope</w:t>
      </w:r>
    </w:p>
    <w:p>
      <w:pPr>
        <w:pStyle w:val="ListParagraph"/>
        <w:numPr>
          <w:ilvl w:val="0"/>
          <w:numId w:val="1"/>
        </w:numPr>
        <w:spacing w:after="90" w:line="264"/>
      </w:pPr>
      <w:r>
        <w:t xml:space="preserve">Core relational schema: users, organizations, roles, permissions, master data (lookup/reference tables), audit log, system configuration.</w:t>
      </w:r>
    </w:p>
    <w:p>
      <w:pPr>
        <w:pStyle w:val="ListParagraph"/>
        <w:numPr>
          <w:ilvl w:val="0"/>
          <w:numId w:val="1"/>
        </w:numPr>
        <w:spacing w:after="90" w:line="264"/>
      </w:pPr>
      <w:r>
        <w:t xml:space="preserve">Migration framework and version-controlled schema change process.</w:t>
      </w:r>
    </w:p>
    <w:p>
      <w:pPr>
        <w:pStyle w:val="ListParagraph"/>
        <w:numPr>
          <w:ilvl w:val="0"/>
          <w:numId w:val="1"/>
        </w:numPr>
        <w:spacing w:after="90" w:line="264"/>
      </w:pPr>
      <w:r>
        <w:t xml:space="preserve">Seed data for initial administrative access and reference/lookup values.</w:t>
      </w:r>
    </w:p>
    <w:p>
      <w:pPr>
        <w:pStyle w:val="ListParagraph"/>
        <w:numPr>
          <w:ilvl w:val="0"/>
          <w:numId w:val="1"/>
        </w:numPr>
        <w:spacing w:after="90" w:line="264"/>
      </w:pPr>
      <w:r>
        <w:t xml:space="preserve">Encryption at rest for all data classified Confidential or above (per Security Architecture).</w:t>
      </w:r>
    </w:p>
    <w:p>
      <w:pPr>
        <w:pStyle w:val="ListParagraph"/>
        <w:numPr>
          <w:ilvl w:val="0"/>
          <w:numId w:val="1"/>
        </w:numPr>
        <w:spacing w:after="90" w:line="264"/>
      </w:pPr>
      <w:r>
        <w:t xml:space="preserve">Backup and disaster-recovery baseline (automated backups, point-in-time recovery, tested restore procedure).</w:t>
      </w:r>
    </w:p>
    <w:p>
      <w:pPr>
        <w:pStyle w:val="ListParagraph"/>
        <w:numPr>
          <w:ilvl w:val="0"/>
          <w:numId w:val="1"/>
        </w:numPr>
        <w:spacing w:after="90" w:line="264"/>
      </w:pPr>
      <w:r>
        <w:t xml:space="preserve">Connection pooling and database-level performance monitoring.</w:t>
      </w:r>
    </w:p>
    <w:p>
      <w:pPr>
        <w:spacing w:after="90" w:before="180"/>
      </w:pPr>
      <w:r>
        <w:rPr>
          <w:b/>
          <w:bCs/>
          <w:color w:val="1A1D21"/>
          <w:sz w:val="19"/>
          <w:szCs w:val="19"/>
        </w:rPr>
        <w:t xml:space="preserve">Out of Scope</w:t>
      </w:r>
    </w:p>
    <w:p>
      <w:pPr>
        <w:pStyle w:val="ListParagraph"/>
        <w:numPr>
          <w:ilvl w:val="0"/>
          <w:numId w:val="1"/>
        </w:numPr>
        <w:spacing w:after="90" w:line="264"/>
      </w:pPr>
      <w:r>
        <w:t xml:space="preserve">Module-specific business entities — each module's own tables are added by that module's own Work Package (e.g., Programme/Project tables by WP-07/WP-08).</w:t>
      </w:r>
    </w:p>
    <w:p>
      <w:pPr>
        <w:pStyle w:val="ListParagraph"/>
        <w:numPr>
          <w:ilvl w:val="0"/>
          <w:numId w:val="1"/>
        </w:numPr>
        <w:spacing w:after="90" w:line="264"/>
      </w:pPr>
      <w:r>
        <w:t xml:space="preserve">Full-text and semantic search indexing (delivered by WP-15 Search).</w:t>
      </w:r>
    </w:p>
    <w:p>
      <w:pPr>
        <w:pStyle w:val="ListParagraph"/>
        <w:numPr>
          <w:ilvl w:val="0"/>
          <w:numId w:val="1"/>
        </w:numPr>
        <w:spacing w:after="90" w:line="264"/>
      </w:pPr>
      <w:r>
        <w:t xml:space="preserve">Reporting data marts and analytical schemas (delivered by WP-16 Reporting and WP-17 Analytics).</w:t>
      </w:r>
    </w:p>
    <w:p>
      <w:pPr>
        <w:spacing w:after="90" w:before="180"/>
      </w:pPr>
      <w:r>
        <w:rPr>
          <w:b/>
          <w:bCs/>
          <w:color w:val="1A1D21"/>
          <w:sz w:val="19"/>
          <w:szCs w:val="19"/>
        </w:rPr>
        <w:t xml:space="preserve">Assumptions</w:t>
      </w:r>
    </w:p>
    <w:p>
      <w:pPr>
        <w:pStyle w:val="ListParagraph"/>
        <w:numPr>
          <w:ilvl w:val="0"/>
          <w:numId w:val="1"/>
        </w:numPr>
        <w:spacing w:after="90" w:line="264"/>
      </w:pPr>
      <w:r>
        <w:t xml:space="preserve">The approved enterprise relational database platform (per DDS Part 1, Executive Database Overview) is available as a managed cloud service consistent with the Enterprise Solution Architecture.</w:t>
      </w:r>
    </w:p>
    <w:p>
      <w:pPr>
        <w:pStyle w:val="ListParagraph"/>
        <w:numPr>
          <w:ilvl w:val="0"/>
          <w:numId w:val="1"/>
        </w:numPr>
        <w:spacing w:after="90" w:line="264"/>
      </w:pPr>
      <w:r>
        <w:t xml:space="preserve">Environments (dev, test, staging, production) are provisioned by WP-03 in parallel; this Work Package targets the development environment first.</w:t>
      </w:r>
    </w:p>
    <w:p>
      <w:pPr>
        <w:spacing w:after="90" w:before="180"/>
      </w:pPr>
      <w:r>
        <w:rPr>
          <w:b/>
          <w:bCs/>
          <w:color w:val="1A1D21"/>
          <w:sz w:val="19"/>
          <w:szCs w:val="19"/>
        </w:rPr>
        <w:t xml:space="preserve">Constraints</w:t>
      </w:r>
    </w:p>
    <w:p>
      <w:pPr>
        <w:pStyle w:val="ListParagraph"/>
        <w:numPr>
          <w:ilvl w:val="0"/>
          <w:numId w:val="1"/>
        </w:numPr>
        <w:spacing w:after="90" w:line="264"/>
      </w:pPr>
      <w:r>
        <w:t xml:space="preserve">The schema must support the full twenty-five Work Package platform scope without a breaking redesign.</w:t>
      </w:r>
    </w:p>
    <w:p>
      <w:pPr>
        <w:pStyle w:val="ListParagraph"/>
        <w:numPr>
          <w:ilvl w:val="0"/>
          <w:numId w:val="1"/>
        </w:numPr>
        <w:spacing w:after="90" w:line="264"/>
      </w:pPr>
      <w:r>
        <w:t xml:space="preserve">Query performance must meet the thresholds fixed in SRS Part 33 (Performance Requirements) under projected production load.</w:t>
      </w:r>
    </w:p>
    <w:p>
      <w:pPr>
        <w:pStyle w:val="ListParagraph"/>
        <w:numPr>
          <w:ilvl w:val="0"/>
          <w:numId w:val="1"/>
        </w:numPr>
        <w:spacing w:after="90" w:line="264"/>
      </w:pPr>
      <w:r>
        <w:t xml:space="preserve">All schema changes after this Work Package closes follow the migration framework established here — no direct production schema edits.</w:t>
      </w:r>
    </w:p>
    <w:p>
      <w:pPr>
        <w:pStyle w:val="Heading1"/>
        <w:pBdr>
          <w:bottom w:val="single" w:color="D3D7DC" w:sz="4" w:space="4"/>
        </w:pBdr>
        <w:spacing w:after="140" w:before="360"/>
      </w:pPr>
      <w:r>
        <w:rPr>
          <w:b/>
          <w:bCs/>
          <w:color w:val="B23A48"/>
          <w:sz w:val="26"/>
          <w:szCs w:val="26"/>
        </w:rPr>
        <w:t xml:space="preserve">4  </w:t>
      </w:r>
      <w:r>
        <w:rPr>
          <w:b/>
          <w:bCs/>
          <w:color w:val="2E3440"/>
          <w:sz w:val="26"/>
          <w:szCs w:val="26"/>
        </w:rPr>
        <w:t xml:space="preserve">Requirements Traceability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9"/>
        <w:gridCol w:w="3024"/>
        <w:gridCol w:w="1512"/>
        <w:gridCol w:w="1008"/>
        <w:gridCol w:w="3427"/>
      </w:tblGrid>
      <w:tr>
        <w:trPr>
          <w:tblHeader/>
        </w:trPr>
        <w:tc>
          <w:tcPr>
            <w:tcW w:type="dxa" w:w="1109"/>
            <w:shd w:fill="2E3440" w:val="clear"/>
            <w:tcMar>
              <w:top w:type="dxa" w:w="70"/>
              <w:left w:type="dxa" w:w="110"/>
              <w:bottom w:type="dxa" w:w="70"/>
              <w:right w:type="dxa" w:w="110"/>
            </w:tcMar>
            <w:vAlign w:val="top"/>
          </w:tcPr>
          <w:p>
            <w:r>
              <w:rPr>
                <w:b/>
                <w:bCs/>
                <w:color w:val="FFFFFF"/>
                <w:sz w:val="17"/>
                <w:szCs w:val="17"/>
              </w:rPr>
              <w:t xml:space="preserve">Req ID</w:t>
            </w:r>
          </w:p>
        </w:tc>
        <w:tc>
          <w:tcPr>
            <w:tcW w:type="dxa" w:w="3024"/>
            <w:shd w:fill="2E3440" w:val="clear"/>
            <w:tcMar>
              <w:top w:type="dxa" w:w="70"/>
              <w:left w:type="dxa" w:w="110"/>
              <w:bottom w:type="dxa" w:w="70"/>
              <w:right w:type="dxa" w:w="110"/>
            </w:tcMar>
            <w:vAlign w:val="top"/>
          </w:tcPr>
          <w:p>
            <w:r>
              <w:rPr>
                <w:b/>
                <w:bCs/>
                <w:color w:val="FFFFFF"/>
                <w:sz w:val="17"/>
                <w:szCs w:val="17"/>
              </w:rPr>
              <w:t xml:space="preserve">Description</w:t>
            </w:r>
          </w:p>
        </w:tc>
        <w:tc>
          <w:tcPr>
            <w:tcW w:type="dxa" w:w="1512"/>
            <w:shd w:fill="2E3440" w:val="clear"/>
            <w:tcMar>
              <w:top w:type="dxa" w:w="70"/>
              <w:left w:type="dxa" w:w="110"/>
              <w:bottom w:type="dxa" w:w="70"/>
              <w:right w:type="dxa" w:w="110"/>
            </w:tcMar>
            <w:vAlign w:val="top"/>
          </w:tcPr>
          <w:p>
            <w:r>
              <w:rPr>
                <w:b/>
                <w:bCs/>
                <w:color w:val="FFFFFF"/>
                <w:sz w:val="17"/>
                <w:szCs w:val="17"/>
              </w:rPr>
              <w:t xml:space="preserve">Source</w:t>
            </w:r>
          </w:p>
        </w:tc>
        <w:tc>
          <w:tcPr>
            <w:tcW w:type="dxa" w:w="1008"/>
            <w:shd w:fill="2E3440" w:val="clear"/>
            <w:tcMar>
              <w:top w:type="dxa" w:w="70"/>
              <w:left w:type="dxa" w:w="110"/>
              <w:bottom w:type="dxa" w:w="70"/>
              <w:right w:type="dxa" w:w="110"/>
            </w:tcMar>
            <w:vAlign w:val="top"/>
          </w:tcPr>
          <w:p>
            <w:r>
              <w:rPr>
                <w:b/>
                <w:bCs/>
                <w:color w:val="FFFFFF"/>
                <w:sz w:val="17"/>
                <w:szCs w:val="17"/>
              </w:rPr>
              <w:t xml:space="preserve">Priority</w:t>
            </w:r>
          </w:p>
        </w:tc>
        <w:tc>
          <w:tcPr>
            <w:tcW w:type="dxa" w:w="3427"/>
            <w:shd w:fill="2E3440" w:val="clear"/>
            <w:tcMar>
              <w:top w:type="dxa" w:w="70"/>
              <w:left w:type="dxa" w:w="110"/>
              <w:bottom w:type="dxa" w:w="70"/>
              <w:right w:type="dxa" w:w="110"/>
            </w:tcMar>
            <w:vAlign w:val="top"/>
          </w:tcPr>
          <w:p>
            <w:r>
              <w:rPr>
                <w:b/>
                <w:bCs/>
                <w:color w:val="FFFFFF"/>
                <w:sz w:val="17"/>
                <w:szCs w:val="17"/>
              </w:rPr>
              <w:t xml:space="preserve">Acceptance Criteria</w:t>
            </w:r>
          </w:p>
        </w:tc>
      </w:tr>
      <w:tr>
        <w:tc>
          <w:tcPr>
            <w:tcW w:type="dxa" w:w="1109"/>
            <w:tcMar>
              <w:top w:type="dxa" w:w="70"/>
              <w:left w:type="dxa" w:w="110"/>
              <w:bottom w:type="dxa" w:w="70"/>
              <w:right w:type="dxa" w:w="110"/>
            </w:tcMar>
            <w:vAlign w:val="top"/>
          </w:tcPr>
          <w:p>
            <w:r>
              <w:rPr>
                <w:b/>
                <w:bCs/>
                <w:color w:val="1A1A1A"/>
                <w:sz w:val="13"/>
                <w:szCs w:val="13"/>
              </w:rPr>
              <w:t xml:space="preserve">NFR-DB-01</w:t>
            </w:r>
          </w:p>
        </w:tc>
        <w:tc>
          <w:tcPr>
            <w:tcW w:type="dxa" w:w="3024"/>
            <w:tcMar>
              <w:top w:type="dxa" w:w="70"/>
              <w:left w:type="dxa" w:w="110"/>
              <w:bottom w:type="dxa" w:w="70"/>
              <w:right w:type="dxa" w:w="110"/>
            </w:tcMar>
            <w:vAlign w:val="top"/>
          </w:tcPr>
          <w:p>
            <w:r>
              <w:rPr>
                <w:b w:val="false"/>
                <w:bCs w:val="false"/>
                <w:color w:val="1A1A1A"/>
                <w:sz w:val="13"/>
                <w:szCs w:val="13"/>
              </w:rPr>
              <w:t xml:space="preserve">Schema must support multi-tenant organizational scoping for every business entity.</w:t>
            </w:r>
          </w:p>
        </w:tc>
        <w:tc>
          <w:tcPr>
            <w:tcW w:type="dxa" w:w="1512"/>
            <w:tcMar>
              <w:top w:type="dxa" w:w="70"/>
              <w:left w:type="dxa" w:w="110"/>
              <w:bottom w:type="dxa" w:w="70"/>
              <w:right w:type="dxa" w:w="110"/>
            </w:tcMar>
            <w:vAlign w:val="top"/>
          </w:tcPr>
          <w:p>
            <w:r>
              <w:rPr>
                <w:b w:val="false"/>
                <w:bCs w:val="false"/>
                <w:color w:val="1A1A1A"/>
                <w:sz w:val="13"/>
                <w:szCs w:val="13"/>
              </w:rPr>
              <w:t xml:space="preserve">SRS Part 30</w:t>
            </w:r>
          </w:p>
        </w:tc>
        <w:tc>
          <w:tcPr>
            <w:tcW w:type="dxa" w:w="1008"/>
            <w:tcMar>
              <w:top w:type="dxa" w:w="70"/>
              <w:left w:type="dxa" w:w="110"/>
              <w:bottom w:type="dxa" w:w="70"/>
              <w:right w:type="dxa" w:w="110"/>
            </w:tcMar>
            <w:vAlign w:val="top"/>
          </w:tcPr>
          <w:p>
            <w:r>
              <w:rPr>
                <w:b w:val="false"/>
                <w:bCs w:val="false"/>
                <w:color w:val="1A1A1A"/>
                <w:sz w:val="13"/>
                <w:szCs w:val="13"/>
              </w:rPr>
              <w:t xml:space="preserve">Must Have</w:t>
            </w:r>
          </w:p>
        </w:tc>
        <w:tc>
          <w:tcPr>
            <w:tcW w:type="dxa" w:w="3427"/>
            <w:tcMar>
              <w:top w:type="dxa" w:w="70"/>
              <w:left w:type="dxa" w:w="110"/>
              <w:bottom w:type="dxa" w:w="70"/>
              <w:right w:type="dxa" w:w="110"/>
            </w:tcMar>
            <w:vAlign w:val="top"/>
          </w:tcPr>
          <w:p>
            <w:r>
              <w:rPr>
                <w:b w:val="false"/>
                <w:bCs w:val="false"/>
                <w:color w:val="1A1A1A"/>
                <w:sz w:val="13"/>
                <w:szCs w:val="13"/>
              </w:rPr>
              <w:t xml:space="preserve">Every business table carries an organization/zone-scoping foreign key, enforced at the database layer.</w:t>
            </w:r>
          </w:p>
        </w:tc>
      </w:tr>
      <w:tr>
        <w:tc>
          <w:tcPr>
            <w:tcW w:type="dxa" w:w="1109"/>
            <w:tcMar>
              <w:top w:type="dxa" w:w="70"/>
              <w:left w:type="dxa" w:w="110"/>
              <w:bottom w:type="dxa" w:w="70"/>
              <w:right w:type="dxa" w:w="110"/>
            </w:tcMar>
            <w:vAlign w:val="top"/>
          </w:tcPr>
          <w:p>
            <w:r>
              <w:rPr>
                <w:b/>
                <w:bCs/>
                <w:color w:val="1A1A1A"/>
                <w:sz w:val="13"/>
                <w:szCs w:val="13"/>
              </w:rPr>
              <w:t xml:space="preserve">NFR-DB-02</w:t>
            </w:r>
          </w:p>
        </w:tc>
        <w:tc>
          <w:tcPr>
            <w:tcW w:type="dxa" w:w="3024"/>
            <w:tcMar>
              <w:top w:type="dxa" w:w="70"/>
              <w:left w:type="dxa" w:w="110"/>
              <w:bottom w:type="dxa" w:w="70"/>
              <w:right w:type="dxa" w:w="110"/>
            </w:tcMar>
            <w:vAlign w:val="top"/>
          </w:tcPr>
          <w:p>
            <w:r>
              <w:rPr>
                <w:b w:val="false"/>
                <w:bCs w:val="false"/>
                <w:color w:val="1A1A1A"/>
                <w:sz w:val="13"/>
                <w:szCs w:val="13"/>
              </w:rPr>
              <w:t xml:space="preserve">Schema must be extensible without breaking changes to accommodate all 20 functional modules.</w:t>
            </w:r>
          </w:p>
        </w:tc>
        <w:tc>
          <w:tcPr>
            <w:tcW w:type="dxa" w:w="1512"/>
            <w:tcMar>
              <w:top w:type="dxa" w:w="70"/>
              <w:left w:type="dxa" w:w="110"/>
              <w:bottom w:type="dxa" w:w="70"/>
              <w:right w:type="dxa" w:w="110"/>
            </w:tcMar>
            <w:vAlign w:val="top"/>
          </w:tcPr>
          <w:p>
            <w:r>
              <w:rPr>
                <w:b w:val="false"/>
                <w:bCs w:val="false"/>
                <w:color w:val="1A1A1A"/>
                <w:sz w:val="13"/>
                <w:szCs w:val="13"/>
              </w:rPr>
              <w:t xml:space="preserve">SRS Part 30</w:t>
            </w:r>
          </w:p>
        </w:tc>
        <w:tc>
          <w:tcPr>
            <w:tcW w:type="dxa" w:w="1008"/>
            <w:tcMar>
              <w:top w:type="dxa" w:w="70"/>
              <w:left w:type="dxa" w:w="110"/>
              <w:bottom w:type="dxa" w:w="70"/>
              <w:right w:type="dxa" w:w="110"/>
            </w:tcMar>
            <w:vAlign w:val="top"/>
          </w:tcPr>
          <w:p>
            <w:r>
              <w:rPr>
                <w:b w:val="false"/>
                <w:bCs w:val="false"/>
                <w:color w:val="1A1A1A"/>
                <w:sz w:val="13"/>
                <w:szCs w:val="13"/>
              </w:rPr>
              <w:t xml:space="preserve">Must Have</w:t>
            </w:r>
          </w:p>
        </w:tc>
        <w:tc>
          <w:tcPr>
            <w:tcW w:type="dxa" w:w="3427"/>
            <w:tcMar>
              <w:top w:type="dxa" w:w="70"/>
              <w:left w:type="dxa" w:w="110"/>
              <w:bottom w:type="dxa" w:w="70"/>
              <w:right w:type="dxa" w:w="110"/>
            </w:tcMar>
            <w:vAlign w:val="top"/>
          </w:tcPr>
          <w:p>
            <w:r>
              <w:rPr>
                <w:b w:val="false"/>
                <w:bCs w:val="false"/>
                <w:color w:val="1A1A1A"/>
                <w:sz w:val="13"/>
                <w:szCs w:val="13"/>
              </w:rPr>
              <w:t xml:space="preserve">Migration framework supports additive, backward-compatible schema evolution; verified against a mock WP-07 migration in test.</w:t>
            </w:r>
          </w:p>
        </w:tc>
      </w:tr>
      <w:tr>
        <w:tc>
          <w:tcPr>
            <w:tcW w:type="dxa" w:w="1109"/>
            <w:tcMar>
              <w:top w:type="dxa" w:w="70"/>
              <w:left w:type="dxa" w:w="110"/>
              <w:bottom w:type="dxa" w:w="70"/>
              <w:right w:type="dxa" w:w="110"/>
            </w:tcMar>
            <w:vAlign w:val="top"/>
          </w:tcPr>
          <w:p>
            <w:r>
              <w:rPr>
                <w:b/>
                <w:bCs/>
                <w:color w:val="1A1A1A"/>
                <w:sz w:val="13"/>
                <w:szCs w:val="13"/>
              </w:rPr>
              <w:t xml:space="preserve">NFR-SEC-01</w:t>
            </w:r>
          </w:p>
        </w:tc>
        <w:tc>
          <w:tcPr>
            <w:tcW w:type="dxa" w:w="3024"/>
            <w:tcMar>
              <w:top w:type="dxa" w:w="70"/>
              <w:left w:type="dxa" w:w="110"/>
              <w:bottom w:type="dxa" w:w="70"/>
              <w:right w:type="dxa" w:w="110"/>
            </w:tcMar>
            <w:vAlign w:val="top"/>
          </w:tcPr>
          <w:p>
            <w:r>
              <w:rPr>
                <w:b w:val="false"/>
                <w:bCs w:val="false"/>
                <w:color w:val="1A1A1A"/>
                <w:sz w:val="13"/>
                <w:szCs w:val="13"/>
              </w:rPr>
              <w:t xml:space="preserve">Data classified Confidential or above must be encrypted at rest.</w:t>
            </w:r>
          </w:p>
        </w:tc>
        <w:tc>
          <w:tcPr>
            <w:tcW w:type="dxa" w:w="1512"/>
            <w:tcMar>
              <w:top w:type="dxa" w:w="70"/>
              <w:left w:type="dxa" w:w="110"/>
              <w:bottom w:type="dxa" w:w="70"/>
              <w:right w:type="dxa" w:w="110"/>
            </w:tcMar>
            <w:vAlign w:val="top"/>
          </w:tcPr>
          <w:p>
            <w:r>
              <w:rPr>
                <w:b w:val="false"/>
                <w:bCs w:val="false"/>
                <w:color w:val="1A1A1A"/>
                <w:sz w:val="13"/>
                <w:szCs w:val="13"/>
              </w:rPr>
              <w:t xml:space="preserve">Security Architecture, SRS Part 32</w:t>
            </w:r>
          </w:p>
        </w:tc>
        <w:tc>
          <w:tcPr>
            <w:tcW w:type="dxa" w:w="1008"/>
            <w:tcMar>
              <w:top w:type="dxa" w:w="70"/>
              <w:left w:type="dxa" w:w="110"/>
              <w:bottom w:type="dxa" w:w="70"/>
              <w:right w:type="dxa" w:w="110"/>
            </w:tcMar>
            <w:vAlign w:val="top"/>
          </w:tcPr>
          <w:p>
            <w:r>
              <w:rPr>
                <w:b w:val="false"/>
                <w:bCs w:val="false"/>
                <w:color w:val="1A1A1A"/>
                <w:sz w:val="13"/>
                <w:szCs w:val="13"/>
              </w:rPr>
              <w:t xml:space="preserve">Must Have</w:t>
            </w:r>
          </w:p>
        </w:tc>
        <w:tc>
          <w:tcPr>
            <w:tcW w:type="dxa" w:w="3427"/>
            <w:tcMar>
              <w:top w:type="dxa" w:w="70"/>
              <w:left w:type="dxa" w:w="110"/>
              <w:bottom w:type="dxa" w:w="70"/>
              <w:right w:type="dxa" w:w="110"/>
            </w:tcMar>
            <w:vAlign w:val="top"/>
          </w:tcPr>
          <w:p>
            <w:r>
              <w:rPr>
                <w:b w:val="false"/>
                <w:bCs w:val="false"/>
                <w:color w:val="1A1A1A"/>
                <w:sz w:val="13"/>
                <w:szCs w:val="13"/>
              </w:rPr>
              <w:t xml:space="preserve">Encryption at rest verified for all Confidential-classified columns; key management follows Security Architecture.</w:t>
            </w:r>
          </w:p>
        </w:tc>
      </w:tr>
      <w:tr>
        <w:tc>
          <w:tcPr>
            <w:tcW w:type="dxa" w:w="1109"/>
            <w:tcMar>
              <w:top w:type="dxa" w:w="70"/>
              <w:left w:type="dxa" w:w="110"/>
              <w:bottom w:type="dxa" w:w="70"/>
              <w:right w:type="dxa" w:w="110"/>
            </w:tcMar>
            <w:vAlign w:val="top"/>
          </w:tcPr>
          <w:p>
            <w:r>
              <w:rPr>
                <w:b/>
                <w:bCs/>
                <w:color w:val="1A1A1A"/>
                <w:sz w:val="13"/>
                <w:szCs w:val="13"/>
              </w:rPr>
              <w:t xml:space="preserve">NFR-AUDIT-01</w:t>
            </w:r>
          </w:p>
        </w:tc>
        <w:tc>
          <w:tcPr>
            <w:tcW w:type="dxa" w:w="3024"/>
            <w:tcMar>
              <w:top w:type="dxa" w:w="70"/>
              <w:left w:type="dxa" w:w="110"/>
              <w:bottom w:type="dxa" w:w="70"/>
              <w:right w:type="dxa" w:w="110"/>
            </w:tcMar>
            <w:vAlign w:val="top"/>
          </w:tcPr>
          <w:p>
            <w:r>
              <w:rPr>
                <w:b w:val="false"/>
                <w:bCs w:val="false"/>
                <w:color w:val="1A1A1A"/>
                <w:sz w:val="13"/>
                <w:szCs w:val="13"/>
              </w:rPr>
              <w:t xml:space="preserve">Every insert, update, and delete on a business table must be attributable to a user and timestamp.</w:t>
            </w:r>
          </w:p>
        </w:tc>
        <w:tc>
          <w:tcPr>
            <w:tcW w:type="dxa" w:w="1512"/>
            <w:tcMar>
              <w:top w:type="dxa" w:w="70"/>
              <w:left w:type="dxa" w:w="110"/>
              <w:bottom w:type="dxa" w:w="70"/>
              <w:right w:type="dxa" w:w="110"/>
            </w:tcMar>
            <w:vAlign w:val="top"/>
          </w:tcPr>
          <w:p>
            <w:r>
              <w:rPr>
                <w:b w:val="false"/>
                <w:bCs w:val="false"/>
                <w:color w:val="1A1A1A"/>
                <w:sz w:val="13"/>
                <w:szCs w:val="13"/>
              </w:rPr>
              <w:t xml:space="preserve">DDS Part 10 (Audit Model)</w:t>
            </w:r>
          </w:p>
        </w:tc>
        <w:tc>
          <w:tcPr>
            <w:tcW w:type="dxa" w:w="1008"/>
            <w:tcMar>
              <w:top w:type="dxa" w:w="70"/>
              <w:left w:type="dxa" w:w="110"/>
              <w:bottom w:type="dxa" w:w="70"/>
              <w:right w:type="dxa" w:w="110"/>
            </w:tcMar>
            <w:vAlign w:val="top"/>
          </w:tcPr>
          <w:p>
            <w:r>
              <w:rPr>
                <w:b w:val="false"/>
                <w:bCs w:val="false"/>
                <w:color w:val="1A1A1A"/>
                <w:sz w:val="13"/>
                <w:szCs w:val="13"/>
              </w:rPr>
              <w:t xml:space="preserve">Must Have</w:t>
            </w:r>
          </w:p>
        </w:tc>
        <w:tc>
          <w:tcPr>
            <w:tcW w:type="dxa" w:w="3427"/>
            <w:tcMar>
              <w:top w:type="dxa" w:w="70"/>
              <w:left w:type="dxa" w:w="110"/>
              <w:bottom w:type="dxa" w:w="70"/>
              <w:right w:type="dxa" w:w="110"/>
            </w:tcMar>
            <w:vAlign w:val="top"/>
          </w:tcPr>
          <w:p>
            <w:r>
              <w:rPr>
                <w:b w:val="false"/>
                <w:bCs w:val="false"/>
                <w:color w:val="1A1A1A"/>
                <w:sz w:val="13"/>
                <w:szCs w:val="13"/>
              </w:rPr>
              <w:t xml:space="preserve">Audit log table populated automatically via trigger or application-layer interceptor for 100% of write operations in test.</w:t>
            </w:r>
          </w:p>
        </w:tc>
      </w:tr>
      <w:tr>
        <w:tc>
          <w:tcPr>
            <w:tcW w:type="dxa" w:w="1109"/>
            <w:tcMar>
              <w:top w:type="dxa" w:w="70"/>
              <w:left w:type="dxa" w:w="110"/>
              <w:bottom w:type="dxa" w:w="70"/>
              <w:right w:type="dxa" w:w="110"/>
            </w:tcMar>
            <w:vAlign w:val="top"/>
          </w:tcPr>
          <w:p>
            <w:r>
              <w:rPr>
                <w:b/>
                <w:bCs/>
                <w:color w:val="1A1A1A"/>
                <w:sz w:val="13"/>
                <w:szCs w:val="13"/>
              </w:rPr>
              <w:t xml:space="preserve">NFR-PERF-01</w:t>
            </w:r>
          </w:p>
        </w:tc>
        <w:tc>
          <w:tcPr>
            <w:tcW w:type="dxa" w:w="3024"/>
            <w:tcMar>
              <w:top w:type="dxa" w:w="70"/>
              <w:left w:type="dxa" w:w="110"/>
              <w:bottom w:type="dxa" w:w="70"/>
              <w:right w:type="dxa" w:w="110"/>
            </w:tcMar>
            <w:vAlign w:val="top"/>
          </w:tcPr>
          <w:p>
            <w:r>
              <w:rPr>
                <w:b w:val="false"/>
                <w:bCs w:val="false"/>
                <w:color w:val="1A1A1A"/>
                <w:sz w:val="13"/>
                <w:szCs w:val="13"/>
              </w:rPr>
              <w:t xml:space="preserve">Indexed lookups on primary business entities must return within the threshold fixed in SRS Part 33.</w:t>
            </w:r>
          </w:p>
        </w:tc>
        <w:tc>
          <w:tcPr>
            <w:tcW w:type="dxa" w:w="1512"/>
            <w:tcMar>
              <w:top w:type="dxa" w:w="70"/>
              <w:left w:type="dxa" w:w="110"/>
              <w:bottom w:type="dxa" w:w="70"/>
              <w:right w:type="dxa" w:w="110"/>
            </w:tcMar>
            <w:vAlign w:val="top"/>
          </w:tcPr>
          <w:p>
            <w:r>
              <w:rPr>
                <w:b w:val="false"/>
                <w:bCs w:val="false"/>
                <w:color w:val="1A1A1A"/>
                <w:sz w:val="13"/>
                <w:szCs w:val="13"/>
              </w:rPr>
              <w:t xml:space="preserve">SRS Part 33</w:t>
            </w:r>
          </w:p>
        </w:tc>
        <w:tc>
          <w:tcPr>
            <w:tcW w:type="dxa" w:w="1008"/>
            <w:tcMar>
              <w:top w:type="dxa" w:w="70"/>
              <w:left w:type="dxa" w:w="110"/>
              <w:bottom w:type="dxa" w:w="70"/>
              <w:right w:type="dxa" w:w="110"/>
            </w:tcMar>
            <w:vAlign w:val="top"/>
          </w:tcPr>
          <w:p>
            <w:r>
              <w:rPr>
                <w:b w:val="false"/>
                <w:bCs w:val="false"/>
                <w:color w:val="1A1A1A"/>
                <w:sz w:val="13"/>
                <w:szCs w:val="13"/>
              </w:rPr>
              <w:t xml:space="preserve">Must Have</w:t>
            </w:r>
          </w:p>
        </w:tc>
        <w:tc>
          <w:tcPr>
            <w:tcW w:type="dxa" w:w="3427"/>
            <w:tcMar>
              <w:top w:type="dxa" w:w="70"/>
              <w:left w:type="dxa" w:w="110"/>
              <w:bottom w:type="dxa" w:w="70"/>
              <w:right w:type="dxa" w:w="110"/>
            </w:tcMar>
            <w:vAlign w:val="top"/>
          </w:tcPr>
          <w:p>
            <w:r>
              <w:rPr>
                <w:b w:val="false"/>
                <w:bCs w:val="false"/>
                <w:color w:val="1A1A1A"/>
                <w:sz w:val="13"/>
                <w:szCs w:val="13"/>
              </w:rPr>
              <w:t xml:space="preserve">Load test demonstrates p95 query latency within SRS Part 33 threshold at projected production volume.</w:t>
            </w:r>
          </w:p>
        </w:tc>
      </w:tr>
      <w:tr>
        <w:tc>
          <w:tcPr>
            <w:tcW w:type="dxa" w:w="1109"/>
            <w:tcMar>
              <w:top w:type="dxa" w:w="70"/>
              <w:left w:type="dxa" w:w="110"/>
              <w:bottom w:type="dxa" w:w="70"/>
              <w:right w:type="dxa" w:w="110"/>
            </w:tcMar>
            <w:vAlign w:val="top"/>
          </w:tcPr>
          <w:p>
            <w:r>
              <w:rPr>
                <w:b/>
                <w:bCs/>
                <w:color w:val="1A1A1A"/>
                <w:sz w:val="13"/>
                <w:szCs w:val="13"/>
              </w:rPr>
              <w:t xml:space="preserve">BR-DATA-01</w:t>
            </w:r>
          </w:p>
        </w:tc>
        <w:tc>
          <w:tcPr>
            <w:tcW w:type="dxa" w:w="3024"/>
            <w:tcMar>
              <w:top w:type="dxa" w:w="70"/>
              <w:left w:type="dxa" w:w="110"/>
              <w:bottom w:type="dxa" w:w="70"/>
              <w:right w:type="dxa" w:w="110"/>
            </w:tcMar>
            <w:vAlign w:val="top"/>
          </w:tcPr>
          <w:p>
            <w:r>
              <w:rPr>
                <w:b w:val="false"/>
                <w:bCs w:val="false"/>
                <w:color w:val="1A1A1A"/>
                <w:sz w:val="13"/>
                <w:szCs w:val="13"/>
              </w:rPr>
              <w:t xml:space="preserve">Referential integrity must be enforced at the database layer, not application layer alone.</w:t>
            </w:r>
          </w:p>
        </w:tc>
        <w:tc>
          <w:tcPr>
            <w:tcW w:type="dxa" w:w="1512"/>
            <w:tcMar>
              <w:top w:type="dxa" w:w="70"/>
              <w:left w:type="dxa" w:w="110"/>
              <w:bottom w:type="dxa" w:w="70"/>
              <w:right w:type="dxa" w:w="110"/>
            </w:tcMar>
            <w:vAlign w:val="top"/>
          </w:tcPr>
          <w:p>
            <w:r>
              <w:rPr>
                <w:b w:val="false"/>
                <w:bCs w:val="false"/>
                <w:color w:val="1A1A1A"/>
                <w:sz w:val="13"/>
                <w:szCs w:val="13"/>
              </w:rPr>
              <w:t xml:space="preserve">DDS Part 9 (Constraints Specification)</w:t>
            </w:r>
          </w:p>
        </w:tc>
        <w:tc>
          <w:tcPr>
            <w:tcW w:type="dxa" w:w="1008"/>
            <w:tcMar>
              <w:top w:type="dxa" w:w="70"/>
              <w:left w:type="dxa" w:w="110"/>
              <w:bottom w:type="dxa" w:w="70"/>
              <w:right w:type="dxa" w:w="110"/>
            </w:tcMar>
            <w:vAlign w:val="top"/>
          </w:tcPr>
          <w:p>
            <w:r>
              <w:rPr>
                <w:b w:val="false"/>
                <w:bCs w:val="false"/>
                <w:color w:val="1A1A1A"/>
                <w:sz w:val="13"/>
                <w:szCs w:val="13"/>
              </w:rPr>
              <w:t xml:space="preserve">Must Have</w:t>
            </w:r>
          </w:p>
        </w:tc>
        <w:tc>
          <w:tcPr>
            <w:tcW w:type="dxa" w:w="3427"/>
            <w:tcMar>
              <w:top w:type="dxa" w:w="70"/>
              <w:left w:type="dxa" w:w="110"/>
              <w:bottom w:type="dxa" w:w="70"/>
              <w:right w:type="dxa" w:w="110"/>
            </w:tcMar>
            <w:vAlign w:val="top"/>
          </w:tcPr>
          <w:p>
            <w:r>
              <w:rPr>
                <w:b w:val="false"/>
                <w:bCs w:val="false"/>
                <w:color w:val="1A1A1A"/>
                <w:sz w:val="13"/>
                <w:szCs w:val="13"/>
              </w:rPr>
              <w:t xml:space="preserve">Foreign key constraints present and enforced for every documented relationship in DDS Part 5.</w:t>
            </w:r>
          </w:p>
        </w:tc>
      </w:tr>
      <w:tr>
        <w:tc>
          <w:tcPr>
            <w:tcW w:type="dxa" w:w="1109"/>
            <w:tcMar>
              <w:top w:type="dxa" w:w="70"/>
              <w:left w:type="dxa" w:w="110"/>
              <w:bottom w:type="dxa" w:w="70"/>
              <w:right w:type="dxa" w:w="110"/>
            </w:tcMar>
            <w:vAlign w:val="top"/>
          </w:tcPr>
          <w:p>
            <w:r>
              <w:rPr>
                <w:b/>
                <w:bCs/>
                <w:color w:val="1A1A1A"/>
                <w:sz w:val="13"/>
                <w:szCs w:val="13"/>
              </w:rPr>
              <w:t xml:space="preserve">COMP-01</w:t>
            </w:r>
          </w:p>
        </w:tc>
        <w:tc>
          <w:tcPr>
            <w:tcW w:type="dxa" w:w="3024"/>
            <w:tcMar>
              <w:top w:type="dxa" w:w="70"/>
              <w:left w:type="dxa" w:w="110"/>
              <w:bottom w:type="dxa" w:w="70"/>
              <w:right w:type="dxa" w:w="110"/>
            </w:tcMar>
            <w:vAlign w:val="top"/>
          </w:tcPr>
          <w:p>
            <w:r>
              <w:rPr>
                <w:b w:val="false"/>
                <w:bCs w:val="false"/>
                <w:color w:val="1A1A1A"/>
                <w:sz w:val="13"/>
                <w:szCs w:val="13"/>
              </w:rPr>
              <w:t xml:space="preserve">Data residency and retention must comply with donor and national data protection requirements.</w:t>
            </w:r>
          </w:p>
        </w:tc>
        <w:tc>
          <w:tcPr>
            <w:tcW w:type="dxa" w:w="1512"/>
            <w:tcMar>
              <w:top w:type="dxa" w:w="70"/>
              <w:left w:type="dxa" w:w="110"/>
              <w:bottom w:type="dxa" w:w="70"/>
              <w:right w:type="dxa" w:w="110"/>
            </w:tcMar>
            <w:vAlign w:val="top"/>
          </w:tcPr>
          <w:p>
            <w:r>
              <w:rPr>
                <w:b w:val="false"/>
                <w:bCs w:val="false"/>
                <w:color w:val="1A1A1A"/>
                <w:sz w:val="13"/>
                <w:szCs w:val="13"/>
              </w:rPr>
              <w:t xml:space="preserve">SRS Part 35 (Compliance Requirements)</w:t>
            </w:r>
          </w:p>
        </w:tc>
        <w:tc>
          <w:tcPr>
            <w:tcW w:type="dxa" w:w="1008"/>
            <w:tcMar>
              <w:top w:type="dxa" w:w="70"/>
              <w:left w:type="dxa" w:w="110"/>
              <w:bottom w:type="dxa" w:w="70"/>
              <w:right w:type="dxa" w:w="110"/>
            </w:tcMar>
            <w:vAlign w:val="top"/>
          </w:tcPr>
          <w:p>
            <w:r>
              <w:rPr>
                <w:b w:val="false"/>
                <w:bCs w:val="false"/>
                <w:color w:val="1A1A1A"/>
                <w:sz w:val="13"/>
                <w:szCs w:val="13"/>
              </w:rPr>
              <w:t xml:space="preserve">Must Have</w:t>
            </w:r>
          </w:p>
        </w:tc>
        <w:tc>
          <w:tcPr>
            <w:tcW w:type="dxa" w:w="3427"/>
            <w:tcMar>
              <w:top w:type="dxa" w:w="70"/>
              <w:left w:type="dxa" w:w="110"/>
              <w:bottom w:type="dxa" w:w="70"/>
              <w:right w:type="dxa" w:w="110"/>
            </w:tcMar>
            <w:vAlign w:val="top"/>
          </w:tcPr>
          <w:p>
            <w:r>
              <w:rPr>
                <w:b w:val="false"/>
                <w:bCs w:val="false"/>
                <w:color w:val="1A1A1A"/>
                <w:sz w:val="13"/>
                <w:szCs w:val="13"/>
              </w:rPr>
              <w:t xml:space="preserve">Hosting region and retention configuration reviewed and signed off by Compliance Officer.</w:t>
            </w:r>
          </w:p>
        </w:tc>
      </w:tr>
    </w:tbl>
    <w:p>
      <w:pPr>
        <w:pStyle w:val="Heading1"/>
        <w:pBdr>
          <w:bottom w:val="single" w:color="D3D7DC" w:sz="4" w:space="4"/>
        </w:pBdr>
        <w:spacing w:after="140" w:before="360"/>
      </w:pPr>
      <w:r>
        <w:rPr>
          <w:b/>
          <w:bCs/>
          <w:color w:val="B23A48"/>
          <w:sz w:val="26"/>
          <w:szCs w:val="26"/>
        </w:rPr>
        <w:t xml:space="preserve">5  </w:t>
      </w:r>
      <w:r>
        <w:rPr>
          <w:b/>
          <w:bCs/>
          <w:color w:val="2E3440"/>
          <w:sz w:val="26"/>
          <w:szCs w:val="26"/>
        </w:rPr>
        <w:t xml:space="preserve">Functional Specification</w:t>
      </w:r>
    </w:p>
    <w:p>
      <w:pPr>
        <w:spacing w:after="90" w:before="180"/>
      </w:pPr>
      <w:r>
        <w:rPr>
          <w:b/>
          <w:bCs/>
          <w:color w:val="1A1D21"/>
          <w:sz w:val="19"/>
          <w:szCs w:val="19"/>
        </w:rPr>
        <w:t xml:space="preserve">Features</w:t>
      </w:r>
    </w:p>
    <w:p>
      <w:pPr>
        <w:pStyle w:val="ListParagraph"/>
        <w:numPr>
          <w:ilvl w:val="0"/>
          <w:numId w:val="1"/>
        </w:numPr>
        <w:spacing w:after="90" w:line="264"/>
      </w:pPr>
      <w:r>
        <w:t xml:space="preserve">Version-controlled schema migrations, applied identically across dev, test, staging, and production.</w:t>
      </w:r>
    </w:p>
    <w:p>
      <w:pPr>
        <w:pStyle w:val="ListParagraph"/>
        <w:numPr>
          <w:ilvl w:val="0"/>
          <w:numId w:val="1"/>
        </w:numPr>
        <w:spacing w:after="90" w:line="264"/>
      </w:pPr>
      <w:r>
        <w:t xml:space="preserve">Seed data loader for initial super-admin account, default roles, and reference/lookup tables.</w:t>
      </w:r>
    </w:p>
    <w:p>
      <w:pPr>
        <w:pStyle w:val="ListParagraph"/>
        <w:numPr>
          <w:ilvl w:val="0"/>
          <w:numId w:val="1"/>
        </w:numPr>
        <w:spacing w:after="90" w:line="264"/>
      </w:pPr>
      <w:r>
        <w:t xml:space="preserve">Automatic audit logging for all write operations on business tables.</w:t>
      </w:r>
    </w:p>
    <w:p>
      <w:pPr>
        <w:pStyle w:val="ListParagraph"/>
        <w:numPr>
          <w:ilvl w:val="0"/>
          <w:numId w:val="1"/>
        </w:numPr>
        <w:spacing w:after="90" w:line="264"/>
      </w:pPr>
      <w:r>
        <w:t xml:space="preserve">Master data administration data model (lookup tables for country, currency, zone type, document category, and other platform-wide reference values).</w:t>
      </w:r>
    </w:p>
    <w:p>
      <w:pPr>
        <w:spacing w:after="90" w:before="180"/>
      </w:pPr>
      <w:r>
        <w:rPr>
          <w:b/>
          <w:bCs/>
          <w:color w:val="1A1D21"/>
          <w:sz w:val="19"/>
          <w:szCs w:val="19"/>
        </w:rPr>
        <w:t xml:space="preserve">User Stories</w:t>
      </w:r>
    </w:p>
    <w:p>
      <w:pPr>
        <w:pStyle w:val="ListParagraph"/>
        <w:numPr>
          <w:ilvl w:val="0"/>
          <w:numId w:val="1"/>
        </w:numPr>
        <w:spacing w:after="90" w:line="264"/>
      </w:pPr>
      <w:r>
        <w:t xml:space="preserve">As a Data Architect, I can apply a new migration to any environment and have it apply identically and idempotently.</w:t>
      </w:r>
    </w:p>
    <w:p>
      <w:pPr>
        <w:pStyle w:val="ListParagraph"/>
        <w:numPr>
          <w:ilvl w:val="0"/>
          <w:numId w:val="1"/>
        </w:numPr>
        <w:spacing w:after="90" w:line="264"/>
      </w:pPr>
      <w:r>
        <w:t xml:space="preserve">As a Security Architect, I can confirm that every Confidential-classified column is encrypted at rest without inspecting application code.</w:t>
      </w:r>
    </w:p>
    <w:p>
      <w:pPr>
        <w:pStyle w:val="ListParagraph"/>
        <w:numPr>
          <w:ilvl w:val="0"/>
          <w:numId w:val="1"/>
        </w:numPr>
        <w:spacing w:after="90" w:line="264"/>
      </w:pPr>
      <w:r>
        <w:t xml:space="preserve">As an Auditor, I can trace any data change in the system to a specific user, timestamp, and originating request.</w:t>
      </w:r>
    </w:p>
    <w:p>
      <w:pPr>
        <w:spacing w:after="90" w:before="180"/>
      </w:pPr>
      <w:r>
        <w:rPr>
          <w:b/>
          <w:bCs/>
          <w:color w:val="1A1D21"/>
          <w:sz w:val="19"/>
          <w:szCs w:val="19"/>
        </w:rPr>
        <w:t xml:space="preserve">Business Rules</w:t>
      </w:r>
    </w:p>
    <w:p>
      <w:pPr>
        <w:pStyle w:val="ListParagraph"/>
        <w:numPr>
          <w:ilvl w:val="0"/>
          <w:numId w:val="1"/>
        </w:numPr>
        <w:spacing w:after="90" w:line="264"/>
      </w:pPr>
      <w:r>
        <w:t xml:space="preserve">No business table may omit an organization/zone-scoping foreign key (NFR-DB-01).</w:t>
      </w:r>
    </w:p>
    <w:p>
      <w:pPr>
        <w:pStyle w:val="ListParagraph"/>
        <w:numPr>
          <w:ilvl w:val="0"/>
          <w:numId w:val="1"/>
        </w:numPr>
        <w:spacing w:after="90" w:line="264"/>
      </w:pPr>
      <w:r>
        <w:t xml:space="preserve">No migration may be applied directly to production without first succeeding in staging.</w:t>
      </w:r>
    </w:p>
    <w:p>
      <w:pPr>
        <w:pStyle w:val="ListParagraph"/>
        <w:numPr>
          <w:ilvl w:val="0"/>
          <w:numId w:val="1"/>
        </w:numPr>
        <w:spacing w:after="90" w:line="264"/>
      </w:pPr>
      <w:r>
        <w:t xml:space="preserve">Soft-delete, not hard-delete, is the default for all business entities, to preserve audit history (DDS Part 10).</w:t>
      </w:r>
    </w:p>
    <w:p>
      <w:pPr>
        <w:spacing w:after="90" w:before="180"/>
      </w:pPr>
      <w:r>
        <w:rPr>
          <w:b/>
          <w:bCs/>
          <w:color w:val="1A1D21"/>
          <w:sz w:val="19"/>
          <w:szCs w:val="19"/>
        </w:rPr>
        <w:t xml:space="preserve">Validation Rules</w:t>
      </w:r>
    </w:p>
    <w:p>
      <w:pPr>
        <w:pStyle w:val="ListParagraph"/>
        <w:numPr>
          <w:ilvl w:val="0"/>
          <w:numId w:val="1"/>
        </w:numPr>
        <w:spacing w:after="90" w:line="264"/>
      </w:pPr>
      <w:r>
        <w:t xml:space="preserve">All foreign keys must reference an existing, non-deleted parent row.</w:t>
      </w:r>
    </w:p>
    <w:p>
      <w:pPr>
        <w:pStyle w:val="ListParagraph"/>
        <w:numPr>
          <w:ilvl w:val="0"/>
          <w:numId w:val="1"/>
        </w:numPr>
        <w:spacing w:after="90" w:line="264"/>
      </w:pPr>
      <w:r>
        <w:t xml:space="preserve">All monetary and quantity fields must use fixed-precision decimal types, never floating point.</w:t>
      </w:r>
    </w:p>
    <w:p>
      <w:pPr>
        <w:pStyle w:val="ListParagraph"/>
        <w:numPr>
          <w:ilvl w:val="0"/>
          <w:numId w:val="1"/>
        </w:numPr>
        <w:spacing w:after="90" w:line="264"/>
      </w:pPr>
      <w:r>
        <w:t xml:space="preserve">All timestamp fields are stored in UTC; timezone conversion is a presentation-layer concern.</w:t>
      </w:r>
    </w:p>
    <w:p>
      <w:pPr>
        <w:spacing w:after="90" w:before="180"/>
      </w:pPr>
      <w:r>
        <w:rPr>
          <w:b/>
          <w:bCs/>
          <w:color w:val="1A1D21"/>
          <w:sz w:val="19"/>
          <w:szCs w:val="19"/>
        </w:rPr>
        <w:t xml:space="preserve">Workflows</w:t>
      </w:r>
    </w:p>
    <w:p>
      <w:pPr>
        <w:spacing w:after="150" w:line="276"/>
        <w:jc w:val="both"/>
      </w:pPr>
      <w:r>
        <w:t xml:space="preserve">Migration workflow: a schema change is authored, peer-reviewed, applied to the development environment, verified in test, promoted to staging, verified again, then promoted to production during an approved deployment window (per WP-03's environment promotion protocol, MEKB Part 13).</w:t>
      </w:r>
    </w:p>
    <w:p>
      <w:pPr>
        <w:spacing w:after="90" w:before="180"/>
      </w:pPr>
      <w:r>
        <w:rPr>
          <w:b/>
          <w:bCs/>
          <w:color w:val="1A1D21"/>
          <w:sz w:val="19"/>
          <w:szCs w:val="19"/>
        </w:rPr>
        <w:t xml:space="preserve">Error Scenarios &amp; Exception Handling</w:t>
      </w:r>
    </w:p>
    <w:p>
      <w:pPr>
        <w:pStyle w:val="ListParagraph"/>
        <w:numPr>
          <w:ilvl w:val="0"/>
          <w:numId w:val="1"/>
        </w:numPr>
        <w:spacing w:after="90" w:line="264"/>
      </w:pPr>
      <w:r>
        <w:t xml:space="preserve">Migration failure mid-apply: the migration framework must support atomic rollback to the pre-migration state.</w:t>
      </w:r>
    </w:p>
    <w:p>
      <w:pPr>
        <w:pStyle w:val="ListParagraph"/>
        <w:numPr>
          <w:ilvl w:val="0"/>
          <w:numId w:val="1"/>
        </w:numPr>
        <w:spacing w:after="90" w:line="264"/>
      </w:pPr>
      <w:r>
        <w:t xml:space="preserve">Constraint violation on write: the database rejects the write and returns a structured error the API layer (WP-02) translates into a client-facing validation message.</w:t>
      </w:r>
    </w:p>
    <w:p>
      <w:pPr>
        <w:pStyle w:val="ListParagraph"/>
        <w:numPr>
          <w:ilvl w:val="0"/>
          <w:numId w:val="1"/>
        </w:numPr>
        <w:spacing w:after="90" w:line="264"/>
      </w:pPr>
      <w:r>
        <w:t xml:space="preserve">Backup failure: DevSecOps monitoring (WP-03) alerts within 15 minutes of a missed or failed backup window.</w:t>
      </w:r>
    </w:p>
    <w:p>
      <w:pPr>
        <w:pStyle w:val="Heading1"/>
        <w:pBdr>
          <w:bottom w:val="single" w:color="D3D7DC" w:sz="4" w:space="4"/>
        </w:pBdr>
        <w:spacing w:after="140" w:before="360"/>
      </w:pPr>
      <w:r>
        <w:rPr>
          <w:b/>
          <w:bCs/>
          <w:color w:val="B23A48"/>
          <w:sz w:val="26"/>
          <w:szCs w:val="26"/>
        </w:rPr>
        <w:t xml:space="preserve">6  </w:t>
      </w:r>
      <w:r>
        <w:rPr>
          <w:b/>
          <w:bCs/>
          <w:color w:val="2E3440"/>
          <w:sz w:val="26"/>
          <w:szCs w:val="26"/>
        </w:rPr>
        <w:t xml:space="preserve">Technical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2E3440" w:val="clear"/>
            <w:tcMar>
              <w:top w:type="dxa" w:w="70"/>
              <w:left w:type="dxa" w:w="110"/>
              <w:bottom w:type="dxa" w:w="70"/>
              <w:right w:type="dxa" w:w="110"/>
            </w:tcMar>
            <w:vAlign w:val="top"/>
          </w:tcPr>
          <w:p>
            <w:r>
              <w:rPr>
                <w:b/>
                <w:bCs/>
                <w:color w:val="FFFFFF"/>
                <w:sz w:val="17"/>
                <w:szCs w:val="17"/>
              </w:rPr>
              <w:t xml:space="preserve">Element</w:t>
            </w:r>
          </w:p>
        </w:tc>
        <w:tc>
          <w:tcPr>
            <w:tcW w:type="dxa" w:w="7862"/>
            <w:shd w:fill="2E3440" w:val="clear"/>
            <w:tcMar>
              <w:top w:type="dxa" w:w="70"/>
              <w:left w:type="dxa" w:w="110"/>
              <w:bottom w:type="dxa" w:w="70"/>
              <w:right w:type="dxa" w:w="110"/>
            </w:tcMar>
            <w:vAlign w:val="top"/>
          </w:tcPr>
          <w:p>
            <w:r>
              <w:rPr>
                <w:b/>
                <w:bCs/>
                <w:color w:val="FFFFFF"/>
                <w:sz w:val="17"/>
                <w:szCs w:val="17"/>
              </w:rPr>
              <w:t xml:space="preserve">Detail</w:t>
            </w:r>
          </w:p>
        </w:tc>
      </w:tr>
      <w:tr>
        <w:tc>
          <w:tcPr>
            <w:tcW w:type="dxa" w:w="2218"/>
            <w:tcMar>
              <w:top w:type="dxa" w:w="70"/>
              <w:left w:type="dxa" w:w="110"/>
              <w:bottom w:type="dxa" w:w="70"/>
              <w:right w:type="dxa" w:w="110"/>
            </w:tcMar>
            <w:vAlign w:val="top"/>
          </w:tcPr>
          <w:p>
            <w:r>
              <w:rPr>
                <w:b/>
                <w:bCs/>
                <w:color w:val="1A1A1A"/>
                <w:sz w:val="15"/>
                <w:szCs w:val="15"/>
              </w:rPr>
              <w:t xml:space="preserve">Architecture References</w:t>
            </w:r>
          </w:p>
        </w:tc>
        <w:tc>
          <w:tcPr>
            <w:tcW w:type="dxa" w:w="7862"/>
            <w:tcMar>
              <w:top w:type="dxa" w:w="70"/>
              <w:left w:type="dxa" w:w="110"/>
              <w:bottom w:type="dxa" w:w="70"/>
              <w:right w:type="dxa" w:w="110"/>
            </w:tcMar>
            <w:vAlign w:val="top"/>
          </w:tcPr>
          <w:p>
            <w:r>
              <w:rPr>
                <w:b w:val="false"/>
                <w:bCs w:val="false"/>
                <w:color w:val="1A1A1A"/>
                <w:sz w:val="15"/>
                <w:szCs w:val="15"/>
              </w:rPr>
              <w:t xml:space="preserve">Enterprise Solution Architecture (Data Architecture section); DDS Parts 1-9 (Executive Overview, Domain Model, Entity Catalogue, Data Dictionary, Relationship Model, Master Data Catalogue, Lookup Tables, Indexing Strategy, Constraints Specification).</w:t>
            </w:r>
          </w:p>
        </w:tc>
      </w:tr>
      <w:tr>
        <w:tc>
          <w:tcPr>
            <w:tcW w:type="dxa" w:w="2218"/>
            <w:tcMar>
              <w:top w:type="dxa" w:w="70"/>
              <w:left w:type="dxa" w:w="110"/>
              <w:bottom w:type="dxa" w:w="70"/>
              <w:right w:type="dxa" w:w="110"/>
            </w:tcMar>
            <w:vAlign w:val="top"/>
          </w:tcPr>
          <w:p>
            <w:r>
              <w:rPr>
                <w:b/>
                <w:bCs/>
                <w:color w:val="1A1A1A"/>
                <w:sz w:val="15"/>
                <w:szCs w:val="15"/>
              </w:rPr>
              <w:t xml:space="preserve">Components</w:t>
            </w:r>
          </w:p>
        </w:tc>
        <w:tc>
          <w:tcPr>
            <w:tcW w:type="dxa" w:w="7862"/>
            <w:tcMar>
              <w:top w:type="dxa" w:w="70"/>
              <w:left w:type="dxa" w:w="110"/>
              <w:bottom w:type="dxa" w:w="70"/>
              <w:right w:type="dxa" w:w="110"/>
            </w:tcMar>
            <w:vAlign w:val="top"/>
          </w:tcPr>
          <w:p>
            <w:r>
              <w:rPr>
                <w:b w:val="false"/>
                <w:bCs w:val="false"/>
                <w:color w:val="1A1A1A"/>
                <w:sz w:val="15"/>
                <w:szCs w:val="15"/>
              </w:rPr>
              <w:t xml:space="preserve">Database engine (managed relational service); migration runner; seed-data loader; audit-logging interceptor.</w:t>
            </w:r>
          </w:p>
        </w:tc>
      </w:tr>
      <w:tr>
        <w:tc>
          <w:tcPr>
            <w:tcW w:type="dxa" w:w="2218"/>
            <w:tcMar>
              <w:top w:type="dxa" w:w="70"/>
              <w:left w:type="dxa" w:w="110"/>
              <w:bottom w:type="dxa" w:w="70"/>
              <w:right w:type="dxa" w:w="110"/>
            </w:tcMar>
            <w:vAlign w:val="top"/>
          </w:tcPr>
          <w:p>
            <w:r>
              <w:rPr>
                <w:b/>
                <w:bCs/>
                <w:color w:val="1A1A1A"/>
                <w:sz w:val="15"/>
                <w:szCs w:val="15"/>
              </w:rPr>
              <w:t xml:space="preserve">Services</w:t>
            </w:r>
          </w:p>
        </w:tc>
        <w:tc>
          <w:tcPr>
            <w:tcW w:type="dxa" w:w="7862"/>
            <w:tcMar>
              <w:top w:type="dxa" w:w="70"/>
              <w:left w:type="dxa" w:w="110"/>
              <w:bottom w:type="dxa" w:w="70"/>
              <w:right w:type="dxa" w:w="110"/>
            </w:tcMar>
            <w:vAlign w:val="top"/>
          </w:tcPr>
          <w:p>
            <w:r>
              <w:rPr>
                <w:b w:val="false"/>
                <w:bCs w:val="false"/>
                <w:color w:val="1A1A1A"/>
                <w:sz w:val="15"/>
                <w:szCs w:val="15"/>
              </w:rPr>
              <w:t xml:space="preserve">None exposed directly — this Work Package has no service layer of its own; it is consumed exclusively through WP-02's API gateway and ORM layer.</w:t>
            </w:r>
          </w:p>
        </w:tc>
      </w:tr>
      <w:tr>
        <w:tc>
          <w:tcPr>
            <w:tcW w:type="dxa" w:w="2218"/>
            <w:tcMar>
              <w:top w:type="dxa" w:w="70"/>
              <w:left w:type="dxa" w:w="110"/>
              <w:bottom w:type="dxa" w:w="70"/>
              <w:right w:type="dxa" w:w="110"/>
            </w:tcMar>
            <w:vAlign w:val="top"/>
          </w:tcPr>
          <w:p>
            <w:r>
              <w:rPr>
                <w:b/>
                <w:bCs/>
                <w:color w:val="1A1A1A"/>
                <w:sz w:val="15"/>
                <w:szCs w:val="15"/>
              </w:rPr>
              <w:t xml:space="preserve">Database Entities</w:t>
            </w:r>
          </w:p>
        </w:tc>
        <w:tc>
          <w:tcPr>
            <w:tcW w:type="dxa" w:w="7862"/>
            <w:tcMar>
              <w:top w:type="dxa" w:w="70"/>
              <w:left w:type="dxa" w:w="110"/>
              <w:bottom w:type="dxa" w:w="70"/>
              <w:right w:type="dxa" w:w="110"/>
            </w:tcMar>
            <w:vAlign w:val="top"/>
          </w:tcPr>
          <w:p>
            <w:r>
              <w:rPr>
                <w:b w:val="false"/>
                <w:bCs w:val="false"/>
                <w:color w:val="1A1A1A"/>
                <w:sz w:val="15"/>
                <w:szCs w:val="15"/>
              </w:rPr>
              <w:t xml:space="preserve">users, organizations, roles, permissions, role_permissions, audit_log, system_configuration, lookup_country, lookup_currency, lookup_zone_type, lookup_document_category (full catalogue: DDS Part 3).</w:t>
            </w:r>
          </w:p>
        </w:tc>
      </w:tr>
      <w:tr>
        <w:tc>
          <w:tcPr>
            <w:tcW w:type="dxa" w:w="2218"/>
            <w:tcMar>
              <w:top w:type="dxa" w:w="70"/>
              <w:left w:type="dxa" w:w="110"/>
              <w:bottom w:type="dxa" w:w="70"/>
              <w:right w:type="dxa" w:w="110"/>
            </w:tcMar>
            <w:vAlign w:val="top"/>
          </w:tcPr>
          <w:p>
            <w:r>
              <w:rPr>
                <w:b/>
                <w:bCs/>
                <w:color w:val="1A1A1A"/>
                <w:sz w:val="15"/>
                <w:szCs w:val="15"/>
              </w:rPr>
              <w:t xml:space="preserve">Events</w:t>
            </w:r>
          </w:p>
        </w:tc>
        <w:tc>
          <w:tcPr>
            <w:tcW w:type="dxa" w:w="7862"/>
            <w:tcMar>
              <w:top w:type="dxa" w:w="70"/>
              <w:left w:type="dxa" w:w="110"/>
              <w:bottom w:type="dxa" w:w="70"/>
              <w:right w:type="dxa" w:w="110"/>
            </w:tcMar>
            <w:vAlign w:val="top"/>
          </w:tcPr>
          <w:p>
            <w:r>
              <w:rPr>
                <w:b w:val="false"/>
                <w:bCs w:val="false"/>
                <w:color w:val="1A1A1A"/>
                <w:sz w:val="15"/>
                <w:szCs w:val="15"/>
              </w:rPr>
              <w:t xml:space="preserve">entity.created, entity.updated, entity.deleted — emitted by the audit-logging interceptor for downstream consumption by WP-18 Notifications once it is live.</w:t>
            </w:r>
          </w:p>
        </w:tc>
      </w:tr>
      <w:tr>
        <w:tc>
          <w:tcPr>
            <w:tcW w:type="dxa" w:w="2218"/>
            <w:tcMar>
              <w:top w:type="dxa" w:w="70"/>
              <w:left w:type="dxa" w:w="110"/>
              <w:bottom w:type="dxa" w:w="70"/>
              <w:right w:type="dxa" w:w="110"/>
            </w:tcMar>
            <w:vAlign w:val="top"/>
          </w:tcPr>
          <w:p>
            <w:r>
              <w:rPr>
                <w:b/>
                <w:bCs/>
                <w:color w:val="1A1A1A"/>
                <w:sz w:val="15"/>
                <w:szCs w:val="15"/>
              </w:rPr>
              <w:t xml:space="preserve">Background Jobs</w:t>
            </w:r>
          </w:p>
        </w:tc>
        <w:tc>
          <w:tcPr>
            <w:tcW w:type="dxa" w:w="7862"/>
            <w:tcMar>
              <w:top w:type="dxa" w:w="70"/>
              <w:left w:type="dxa" w:w="110"/>
              <w:bottom w:type="dxa" w:w="70"/>
              <w:right w:type="dxa" w:w="110"/>
            </w:tcMar>
            <w:vAlign w:val="top"/>
          </w:tcPr>
          <w:p>
            <w:r>
              <w:rPr>
                <w:b w:val="false"/>
                <w:bCs w:val="false"/>
                <w:color w:val="1A1A1A"/>
                <w:sz w:val="15"/>
                <w:szCs w:val="15"/>
              </w:rPr>
              <w:t xml:space="preserve">Nightly backup verification job; weekly index-health and query-plan review job.</w:t>
            </w:r>
          </w:p>
        </w:tc>
      </w:tr>
      <w:tr>
        <w:tc>
          <w:tcPr>
            <w:tcW w:type="dxa" w:w="2218"/>
            <w:tcMar>
              <w:top w:type="dxa" w:w="70"/>
              <w:left w:type="dxa" w:w="110"/>
              <w:bottom w:type="dxa" w:w="70"/>
              <w:right w:type="dxa" w:w="110"/>
            </w:tcMar>
            <w:vAlign w:val="top"/>
          </w:tcPr>
          <w:p>
            <w:r>
              <w:rPr>
                <w:b/>
                <w:bCs/>
                <w:color w:val="1A1A1A"/>
                <w:sz w:val="15"/>
                <w:szCs w:val="15"/>
              </w:rPr>
              <w:t xml:space="preserve">Configuration</w:t>
            </w:r>
          </w:p>
        </w:tc>
        <w:tc>
          <w:tcPr>
            <w:tcW w:type="dxa" w:w="7862"/>
            <w:tcMar>
              <w:top w:type="dxa" w:w="70"/>
              <w:left w:type="dxa" w:w="110"/>
              <w:bottom w:type="dxa" w:w="70"/>
              <w:right w:type="dxa" w:w="110"/>
            </w:tcMar>
            <w:vAlign w:val="top"/>
          </w:tcPr>
          <w:p>
            <w:r>
              <w:rPr>
                <w:b w:val="false"/>
                <w:bCs w:val="false"/>
                <w:color w:val="1A1A1A"/>
                <w:sz w:val="15"/>
                <w:szCs w:val="15"/>
              </w:rPr>
              <w:t xml:space="preserve">Connection pool size, statement timeout, backup retention window — externalized to environment configuration (WP-03), never hardcoded.</w:t>
            </w:r>
          </w:p>
        </w:tc>
      </w:tr>
      <w:tr>
        <w:tc>
          <w:tcPr>
            <w:tcW w:type="dxa" w:w="2218"/>
            <w:tcMar>
              <w:top w:type="dxa" w:w="70"/>
              <w:left w:type="dxa" w:w="110"/>
              <w:bottom w:type="dxa" w:w="70"/>
              <w:right w:type="dxa" w:w="110"/>
            </w:tcMar>
            <w:vAlign w:val="top"/>
          </w:tcPr>
          <w:p>
            <w:r>
              <w:rPr>
                <w:b/>
                <w:bCs/>
                <w:color w:val="1A1A1A"/>
                <w:sz w:val="15"/>
                <w:szCs w:val="15"/>
              </w:rPr>
              <w:t xml:space="preserve">Feature Flags</w:t>
            </w:r>
          </w:p>
        </w:tc>
        <w:tc>
          <w:tcPr>
            <w:tcW w:type="dxa" w:w="7862"/>
            <w:tcMar>
              <w:top w:type="dxa" w:w="70"/>
              <w:left w:type="dxa" w:w="110"/>
              <w:bottom w:type="dxa" w:w="70"/>
              <w:right w:type="dxa" w:w="110"/>
            </w:tcMar>
            <w:vAlign w:val="top"/>
          </w:tcPr>
          <w:p>
            <w:r>
              <w:rPr>
                <w:b w:val="false"/>
                <w:bCs w:val="false"/>
                <w:color w:val="1A1A1A"/>
                <w:sz w:val="15"/>
                <w:szCs w:val="15"/>
              </w:rPr>
              <w:t xml:space="preserve">None at the database layer; feature flags are an application-layer concern owned by consuming Work Packages.</w:t>
            </w:r>
          </w:p>
        </w:tc>
      </w:tr>
    </w:tbl>
    <w:p>
      <w:pPr>
        <w:pStyle w:val="Heading1"/>
        <w:pBdr>
          <w:bottom w:val="single" w:color="D3D7DC" w:sz="4" w:space="4"/>
        </w:pBdr>
        <w:spacing w:after="140" w:before="360"/>
      </w:pPr>
      <w:r>
        <w:rPr>
          <w:b/>
          <w:bCs/>
          <w:color w:val="B23A48"/>
          <w:sz w:val="26"/>
          <w:szCs w:val="26"/>
        </w:rPr>
        <w:t xml:space="preserve">7  </w:t>
      </w:r>
      <w:r>
        <w:rPr>
          <w:b/>
          <w:bCs/>
          <w:color w:val="2E3440"/>
          <w:sz w:val="26"/>
          <w:szCs w:val="26"/>
        </w:rPr>
        <w:t xml:space="preserve">User Interface</w:t>
      </w:r>
    </w:p>
    <w:p>
      <w:pPr>
        <w:spacing w:after="150" w:line="276"/>
        <w:jc w:val="both"/>
      </w:pPr>
      <w:r>
        <w:t xml:space="preserve">This Work Package has no end-user interface. Its only interface is the schema and migration tooling consumed by engineering teams and by WP-04's Administration Console (which surfaces master data administration). Accessibility and responsive-behavior requirements accordingly do not apply to WP-01 directly; they are inherited by WP-04's UI layer.</w:t>
      </w:r>
    </w:p>
    <w:p>
      <w:pPr>
        <w:pStyle w:val="Heading1"/>
        <w:pBdr>
          <w:bottom w:val="single" w:color="D3D7DC" w:sz="4" w:space="4"/>
        </w:pBdr>
        <w:spacing w:after="140" w:before="360"/>
      </w:pPr>
      <w:r>
        <w:rPr>
          <w:b/>
          <w:bCs/>
          <w:color w:val="B23A48"/>
          <w:sz w:val="26"/>
          <w:szCs w:val="26"/>
        </w:rPr>
        <w:t xml:space="preserve">8  </w:t>
      </w:r>
      <w:r>
        <w:rPr>
          <w:b/>
          <w:bCs/>
          <w:color w:val="2E3440"/>
          <w:sz w:val="26"/>
          <w:szCs w:val="26"/>
        </w:rPr>
        <w:t xml:space="preserve">API Specification</w:t>
      </w:r>
    </w:p>
    <w:p>
      <w:pPr>
        <w:spacing w:after="150" w:line="276"/>
        <w:jc w:val="both"/>
      </w:pPr>
      <w:r>
        <w:t xml:space="preserve">This Work Package exposes no public or internal API of its own. All access to the schema established here is mediated through WP-02's API &amp; Integration Platform Foundation, which is the only permitted access path for any application code. Direct database access from application services bypassing WP-02's data access layer is prohibited (Engineering Handbook Chapter 9).</w:t>
      </w:r>
    </w:p>
    <w:p>
      <w:pPr>
        <w:pStyle w:val="Heading1"/>
        <w:pBdr>
          <w:bottom w:val="single" w:color="D3D7DC" w:sz="4" w:space="4"/>
        </w:pBdr>
        <w:spacing w:after="140" w:before="360"/>
      </w:pPr>
      <w:r>
        <w:rPr>
          <w:b/>
          <w:bCs/>
          <w:color w:val="B23A48"/>
          <w:sz w:val="26"/>
          <w:szCs w:val="26"/>
        </w:rPr>
        <w:t xml:space="preserve">9  </w:t>
      </w:r>
      <w:r>
        <w:rPr>
          <w:b/>
          <w:bCs/>
          <w:color w:val="2E3440"/>
          <w:sz w:val="26"/>
          <w:szCs w:val="26"/>
        </w:rPr>
        <w:t xml:space="preserve">Database Specification</w:t>
      </w:r>
    </w:p>
    <w:p>
      <w:pPr>
        <w:spacing w:after="90" w:before="180"/>
      </w:pPr>
      <w:r>
        <w:rPr>
          <w:b/>
          <w:bCs/>
          <w:color w:val="1A1D21"/>
          <w:sz w:val="19"/>
          <w:szCs w:val="19"/>
        </w:rPr>
        <w:t xml:space="preserve">Core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tblHeader/>
        </w:trPr>
        <w:tc>
          <w:tcPr>
            <w:tcW w:type="dxa" w:w="2016"/>
            <w:shd w:fill="2E3440" w:val="clear"/>
            <w:tcMar>
              <w:top w:type="dxa" w:w="70"/>
              <w:left w:type="dxa" w:w="110"/>
              <w:bottom w:type="dxa" w:w="70"/>
              <w:right w:type="dxa" w:w="110"/>
            </w:tcMar>
            <w:vAlign w:val="top"/>
          </w:tcPr>
          <w:p>
            <w:r>
              <w:rPr>
                <w:b/>
                <w:bCs/>
                <w:color w:val="FFFFFF"/>
                <w:sz w:val="17"/>
                <w:szCs w:val="17"/>
              </w:rPr>
              <w:t xml:space="preserve">Table</w:t>
            </w:r>
          </w:p>
        </w:tc>
        <w:tc>
          <w:tcPr>
            <w:tcW w:type="dxa" w:w="4032"/>
            <w:shd w:fill="2E3440" w:val="clear"/>
            <w:tcMar>
              <w:top w:type="dxa" w:w="70"/>
              <w:left w:type="dxa" w:w="110"/>
              <w:bottom w:type="dxa" w:w="70"/>
              <w:right w:type="dxa" w:w="110"/>
            </w:tcMar>
            <w:vAlign w:val="top"/>
          </w:tcPr>
          <w:p>
            <w:r>
              <w:rPr>
                <w:b/>
                <w:bCs/>
                <w:color w:val="FFFFFF"/>
                <w:sz w:val="17"/>
                <w:szCs w:val="17"/>
              </w:rPr>
              <w:t xml:space="preserve">Purpose</w:t>
            </w:r>
          </w:p>
        </w:tc>
        <w:tc>
          <w:tcPr>
            <w:tcW w:type="dxa" w:w="4032"/>
            <w:shd w:fill="2E3440" w:val="clear"/>
            <w:tcMar>
              <w:top w:type="dxa" w:w="70"/>
              <w:left w:type="dxa" w:w="110"/>
              <w:bottom w:type="dxa" w:w="70"/>
              <w:right w:type="dxa" w:w="110"/>
            </w:tcMar>
            <w:vAlign w:val="top"/>
          </w:tcPr>
          <w:p>
            <w:r>
              <w:rPr>
                <w:b/>
                <w:bCs/>
                <w:color w:val="FFFFFF"/>
                <w:sz w:val="17"/>
                <w:szCs w:val="17"/>
              </w:rPr>
              <w:t xml:space="preserve">Key Relationships</w:t>
            </w:r>
          </w:p>
        </w:tc>
      </w:tr>
      <w:tr>
        <w:tc>
          <w:tcPr>
            <w:tcW w:type="dxa" w:w="2016"/>
            <w:tcMar>
              <w:top w:type="dxa" w:w="70"/>
              <w:left w:type="dxa" w:w="110"/>
              <w:bottom w:type="dxa" w:w="70"/>
              <w:right w:type="dxa" w:w="110"/>
            </w:tcMar>
            <w:vAlign w:val="top"/>
          </w:tcPr>
          <w:p>
            <w:r>
              <w:rPr>
                <w:b/>
                <w:bCs/>
                <w:color w:val="1A1A1A"/>
                <w:sz w:val="14"/>
                <w:szCs w:val="14"/>
              </w:rPr>
              <w:t xml:space="preserve">users</w:t>
            </w:r>
          </w:p>
        </w:tc>
        <w:tc>
          <w:tcPr>
            <w:tcW w:type="dxa" w:w="4032"/>
            <w:tcMar>
              <w:top w:type="dxa" w:w="70"/>
              <w:left w:type="dxa" w:w="110"/>
              <w:bottom w:type="dxa" w:w="70"/>
              <w:right w:type="dxa" w:w="110"/>
            </w:tcMar>
            <w:vAlign w:val="top"/>
          </w:tcPr>
          <w:p>
            <w:r>
              <w:rPr>
                <w:b w:val="false"/>
                <w:bCs w:val="false"/>
                <w:color w:val="1A1A1A"/>
                <w:sz w:val="14"/>
                <w:szCs w:val="14"/>
              </w:rPr>
              <w:t xml:space="preserve">Platform user accounts.</w:t>
            </w:r>
          </w:p>
        </w:tc>
        <w:tc>
          <w:tcPr>
            <w:tcW w:type="dxa" w:w="4032"/>
            <w:tcMar>
              <w:top w:type="dxa" w:w="70"/>
              <w:left w:type="dxa" w:w="110"/>
              <w:bottom w:type="dxa" w:w="70"/>
              <w:right w:type="dxa" w:w="110"/>
            </w:tcMar>
            <w:vAlign w:val="top"/>
          </w:tcPr>
          <w:p>
            <w:r>
              <w:rPr>
                <w:b w:val="false"/>
                <w:bCs w:val="false"/>
                <w:color w:val="1A1A1A"/>
                <w:sz w:val="14"/>
                <w:szCs w:val="14"/>
              </w:rPr>
              <w:t xml:space="preserve">belongs to organizations; has many role_assignments.</w:t>
            </w:r>
          </w:p>
        </w:tc>
      </w:tr>
      <w:tr>
        <w:tc>
          <w:tcPr>
            <w:tcW w:type="dxa" w:w="2016"/>
            <w:tcMar>
              <w:top w:type="dxa" w:w="70"/>
              <w:left w:type="dxa" w:w="110"/>
              <w:bottom w:type="dxa" w:w="70"/>
              <w:right w:type="dxa" w:w="110"/>
            </w:tcMar>
            <w:vAlign w:val="top"/>
          </w:tcPr>
          <w:p>
            <w:r>
              <w:rPr>
                <w:b/>
                <w:bCs/>
                <w:color w:val="1A1A1A"/>
                <w:sz w:val="14"/>
                <w:szCs w:val="14"/>
              </w:rPr>
              <w:t xml:space="preserve">organizations</w:t>
            </w:r>
          </w:p>
        </w:tc>
        <w:tc>
          <w:tcPr>
            <w:tcW w:type="dxa" w:w="4032"/>
            <w:tcMar>
              <w:top w:type="dxa" w:w="70"/>
              <w:left w:type="dxa" w:w="110"/>
              <w:bottom w:type="dxa" w:w="70"/>
              <w:right w:type="dxa" w:w="110"/>
            </w:tcMar>
            <w:vAlign w:val="top"/>
          </w:tcPr>
          <w:p>
            <w:r>
              <w:rPr>
                <w:b w:val="false"/>
                <w:bCs w:val="false"/>
                <w:color w:val="1A1A1A"/>
                <w:sz w:val="14"/>
                <w:szCs w:val="14"/>
              </w:rPr>
              <w:t xml:space="preserve">Organizational/zone scoping entity referenced by every business table.</w:t>
            </w:r>
          </w:p>
        </w:tc>
        <w:tc>
          <w:tcPr>
            <w:tcW w:type="dxa" w:w="4032"/>
            <w:tcMar>
              <w:top w:type="dxa" w:w="70"/>
              <w:left w:type="dxa" w:w="110"/>
              <w:bottom w:type="dxa" w:w="70"/>
              <w:right w:type="dxa" w:w="110"/>
            </w:tcMar>
            <w:vAlign w:val="top"/>
          </w:tcPr>
          <w:p>
            <w:r>
              <w:rPr>
                <w:b w:val="false"/>
                <w:bCs w:val="false"/>
                <w:color w:val="1A1A1A"/>
                <w:sz w:val="14"/>
                <w:szCs w:val="14"/>
              </w:rPr>
              <w:t xml:space="preserve">self-referencing hierarchy (parent zone); has many users.</w:t>
            </w:r>
          </w:p>
        </w:tc>
      </w:tr>
      <w:tr>
        <w:tc>
          <w:tcPr>
            <w:tcW w:type="dxa" w:w="2016"/>
            <w:tcMar>
              <w:top w:type="dxa" w:w="70"/>
              <w:left w:type="dxa" w:w="110"/>
              <w:bottom w:type="dxa" w:w="70"/>
              <w:right w:type="dxa" w:w="110"/>
            </w:tcMar>
            <w:vAlign w:val="top"/>
          </w:tcPr>
          <w:p>
            <w:r>
              <w:rPr>
                <w:b/>
                <w:bCs/>
                <w:color w:val="1A1A1A"/>
                <w:sz w:val="14"/>
                <w:szCs w:val="14"/>
              </w:rPr>
              <w:t xml:space="preserve">roles</w:t>
            </w:r>
          </w:p>
        </w:tc>
        <w:tc>
          <w:tcPr>
            <w:tcW w:type="dxa" w:w="4032"/>
            <w:tcMar>
              <w:top w:type="dxa" w:w="70"/>
              <w:left w:type="dxa" w:w="110"/>
              <w:bottom w:type="dxa" w:w="70"/>
              <w:right w:type="dxa" w:w="110"/>
            </w:tcMar>
            <w:vAlign w:val="top"/>
          </w:tcPr>
          <w:p>
            <w:r>
              <w:rPr>
                <w:b w:val="false"/>
                <w:bCs w:val="false"/>
                <w:color w:val="1A1A1A"/>
                <w:sz w:val="14"/>
                <w:szCs w:val="14"/>
              </w:rPr>
              <w:t xml:space="preserve">Named permission bundles.</w:t>
            </w:r>
          </w:p>
        </w:tc>
        <w:tc>
          <w:tcPr>
            <w:tcW w:type="dxa" w:w="4032"/>
            <w:tcMar>
              <w:top w:type="dxa" w:w="70"/>
              <w:left w:type="dxa" w:w="110"/>
              <w:bottom w:type="dxa" w:w="70"/>
              <w:right w:type="dxa" w:w="110"/>
            </w:tcMar>
            <w:vAlign w:val="top"/>
          </w:tcPr>
          <w:p>
            <w:r>
              <w:rPr>
                <w:b w:val="false"/>
                <w:bCs w:val="false"/>
                <w:color w:val="1A1A1A"/>
                <w:sz w:val="14"/>
                <w:szCs w:val="14"/>
              </w:rPr>
              <w:t xml:space="preserve">has many role_permissions; assigned to users via role_assignments.</w:t>
            </w:r>
          </w:p>
        </w:tc>
      </w:tr>
      <w:tr>
        <w:tc>
          <w:tcPr>
            <w:tcW w:type="dxa" w:w="2016"/>
            <w:tcMar>
              <w:top w:type="dxa" w:w="70"/>
              <w:left w:type="dxa" w:w="110"/>
              <w:bottom w:type="dxa" w:w="70"/>
              <w:right w:type="dxa" w:w="110"/>
            </w:tcMar>
            <w:vAlign w:val="top"/>
          </w:tcPr>
          <w:p>
            <w:r>
              <w:rPr>
                <w:b/>
                <w:bCs/>
                <w:color w:val="1A1A1A"/>
                <w:sz w:val="14"/>
                <w:szCs w:val="14"/>
              </w:rPr>
              <w:t xml:space="preserve">permissions</w:t>
            </w:r>
          </w:p>
        </w:tc>
        <w:tc>
          <w:tcPr>
            <w:tcW w:type="dxa" w:w="4032"/>
            <w:tcMar>
              <w:top w:type="dxa" w:w="70"/>
              <w:left w:type="dxa" w:w="110"/>
              <w:bottom w:type="dxa" w:w="70"/>
              <w:right w:type="dxa" w:w="110"/>
            </w:tcMar>
            <w:vAlign w:val="top"/>
          </w:tcPr>
          <w:p>
            <w:r>
              <w:rPr>
                <w:b w:val="false"/>
                <w:bCs w:val="false"/>
                <w:color w:val="1A1A1A"/>
                <w:sz w:val="14"/>
                <w:szCs w:val="14"/>
              </w:rPr>
              <w:t xml:space="preserve">Atomic permission grants.</w:t>
            </w:r>
          </w:p>
        </w:tc>
        <w:tc>
          <w:tcPr>
            <w:tcW w:type="dxa" w:w="4032"/>
            <w:tcMar>
              <w:top w:type="dxa" w:w="70"/>
              <w:left w:type="dxa" w:w="110"/>
              <w:bottom w:type="dxa" w:w="70"/>
              <w:right w:type="dxa" w:w="110"/>
            </w:tcMar>
            <w:vAlign w:val="top"/>
          </w:tcPr>
          <w:p>
            <w:r>
              <w:rPr>
                <w:b w:val="false"/>
                <w:bCs w:val="false"/>
                <w:color w:val="1A1A1A"/>
                <w:sz w:val="14"/>
                <w:szCs w:val="14"/>
              </w:rPr>
              <w:t xml:space="preserve">referenced by role_permissions.</w:t>
            </w:r>
          </w:p>
        </w:tc>
      </w:tr>
      <w:tr>
        <w:tc>
          <w:tcPr>
            <w:tcW w:type="dxa" w:w="2016"/>
            <w:tcMar>
              <w:top w:type="dxa" w:w="70"/>
              <w:left w:type="dxa" w:w="110"/>
              <w:bottom w:type="dxa" w:w="70"/>
              <w:right w:type="dxa" w:w="110"/>
            </w:tcMar>
            <w:vAlign w:val="top"/>
          </w:tcPr>
          <w:p>
            <w:r>
              <w:rPr>
                <w:b/>
                <w:bCs/>
                <w:color w:val="1A1A1A"/>
                <w:sz w:val="14"/>
                <w:szCs w:val="14"/>
              </w:rPr>
              <w:t xml:space="preserve">role_permissions</w:t>
            </w:r>
          </w:p>
        </w:tc>
        <w:tc>
          <w:tcPr>
            <w:tcW w:type="dxa" w:w="4032"/>
            <w:tcMar>
              <w:top w:type="dxa" w:w="70"/>
              <w:left w:type="dxa" w:w="110"/>
              <w:bottom w:type="dxa" w:w="70"/>
              <w:right w:type="dxa" w:w="110"/>
            </w:tcMar>
            <w:vAlign w:val="top"/>
          </w:tcPr>
          <w:p>
            <w:r>
              <w:rPr>
                <w:b w:val="false"/>
                <w:bCs w:val="false"/>
                <w:color w:val="1A1A1A"/>
                <w:sz w:val="14"/>
                <w:szCs w:val="14"/>
              </w:rPr>
              <w:t xml:space="preserve">Join table: roles to permissions.</w:t>
            </w:r>
          </w:p>
        </w:tc>
        <w:tc>
          <w:tcPr>
            <w:tcW w:type="dxa" w:w="4032"/>
            <w:tcMar>
              <w:top w:type="dxa" w:w="70"/>
              <w:left w:type="dxa" w:w="110"/>
              <w:bottom w:type="dxa" w:w="70"/>
              <w:right w:type="dxa" w:w="110"/>
            </w:tcMar>
            <w:vAlign w:val="top"/>
          </w:tcPr>
          <w:p>
            <w:r>
              <w:rPr>
                <w:b w:val="false"/>
                <w:bCs w:val="false"/>
                <w:color w:val="1A1A1A"/>
                <w:sz w:val="14"/>
                <w:szCs w:val="14"/>
              </w:rPr>
              <w:t xml:space="preserve">many-to-many resolver.</w:t>
            </w:r>
          </w:p>
        </w:tc>
      </w:tr>
      <w:tr>
        <w:tc>
          <w:tcPr>
            <w:tcW w:type="dxa" w:w="2016"/>
            <w:tcMar>
              <w:top w:type="dxa" w:w="70"/>
              <w:left w:type="dxa" w:w="110"/>
              <w:bottom w:type="dxa" w:w="70"/>
              <w:right w:type="dxa" w:w="110"/>
            </w:tcMar>
            <w:vAlign w:val="top"/>
          </w:tcPr>
          <w:p>
            <w:r>
              <w:rPr>
                <w:b/>
                <w:bCs/>
                <w:color w:val="1A1A1A"/>
                <w:sz w:val="14"/>
                <w:szCs w:val="14"/>
              </w:rPr>
              <w:t xml:space="preserve">audit_log</w:t>
            </w:r>
          </w:p>
        </w:tc>
        <w:tc>
          <w:tcPr>
            <w:tcW w:type="dxa" w:w="4032"/>
            <w:tcMar>
              <w:top w:type="dxa" w:w="70"/>
              <w:left w:type="dxa" w:w="110"/>
              <w:bottom w:type="dxa" w:w="70"/>
              <w:right w:type="dxa" w:w="110"/>
            </w:tcMar>
            <w:vAlign w:val="top"/>
          </w:tcPr>
          <w:p>
            <w:r>
              <w:rPr>
                <w:b w:val="false"/>
                <w:bCs w:val="false"/>
                <w:color w:val="1A1A1A"/>
                <w:sz w:val="14"/>
                <w:szCs w:val="14"/>
              </w:rPr>
              <w:t xml:space="preserve">Immutable record of every write operation.</w:t>
            </w:r>
          </w:p>
        </w:tc>
        <w:tc>
          <w:tcPr>
            <w:tcW w:type="dxa" w:w="4032"/>
            <w:tcMar>
              <w:top w:type="dxa" w:w="70"/>
              <w:left w:type="dxa" w:w="110"/>
              <w:bottom w:type="dxa" w:w="70"/>
              <w:right w:type="dxa" w:w="110"/>
            </w:tcMar>
            <w:vAlign w:val="top"/>
          </w:tcPr>
          <w:p>
            <w:r>
              <w:rPr>
                <w:b w:val="false"/>
                <w:bCs w:val="false"/>
                <w:color w:val="1A1A1A"/>
                <w:sz w:val="14"/>
                <w:szCs w:val="14"/>
              </w:rPr>
              <w:t xml:space="preserve">references users (actor) and the affected entity by polymorphic reference.</w:t>
            </w:r>
          </w:p>
        </w:tc>
      </w:tr>
      <w:tr>
        <w:tc>
          <w:tcPr>
            <w:tcW w:type="dxa" w:w="2016"/>
            <w:tcMar>
              <w:top w:type="dxa" w:w="70"/>
              <w:left w:type="dxa" w:w="110"/>
              <w:bottom w:type="dxa" w:w="70"/>
              <w:right w:type="dxa" w:w="110"/>
            </w:tcMar>
            <w:vAlign w:val="top"/>
          </w:tcPr>
          <w:p>
            <w:r>
              <w:rPr>
                <w:b/>
                <w:bCs/>
                <w:color w:val="1A1A1A"/>
                <w:sz w:val="14"/>
                <w:szCs w:val="14"/>
              </w:rPr>
              <w:t xml:space="preserve">system_configuration</w:t>
            </w:r>
          </w:p>
        </w:tc>
        <w:tc>
          <w:tcPr>
            <w:tcW w:type="dxa" w:w="4032"/>
            <w:tcMar>
              <w:top w:type="dxa" w:w="70"/>
              <w:left w:type="dxa" w:w="110"/>
              <w:bottom w:type="dxa" w:w="70"/>
              <w:right w:type="dxa" w:w="110"/>
            </w:tcMar>
            <w:vAlign w:val="top"/>
          </w:tcPr>
          <w:p>
            <w:r>
              <w:rPr>
                <w:b w:val="false"/>
                <w:bCs w:val="false"/>
                <w:color w:val="1A1A1A"/>
                <w:sz w:val="14"/>
                <w:szCs w:val="14"/>
              </w:rPr>
              <w:t xml:space="preserve">Platform-wide configuration key/value store.</w:t>
            </w:r>
          </w:p>
        </w:tc>
        <w:tc>
          <w:tcPr>
            <w:tcW w:type="dxa" w:w="4032"/>
            <w:tcMar>
              <w:top w:type="dxa" w:w="70"/>
              <w:left w:type="dxa" w:w="110"/>
              <w:bottom w:type="dxa" w:w="70"/>
              <w:right w:type="dxa" w:w="110"/>
            </w:tcMar>
            <w:vAlign w:val="top"/>
          </w:tcPr>
          <w:p>
            <w:r>
              <w:rPr>
                <w:b w:val="false"/>
                <w:bCs w:val="false"/>
                <w:color w:val="1A1A1A"/>
                <w:sz w:val="14"/>
                <w:szCs w:val="14"/>
              </w:rPr>
              <w:t xml:space="preserve">none — flat reference table.</w:t>
            </w:r>
          </w:p>
        </w:tc>
      </w:tr>
      <w:tr>
        <w:tc>
          <w:tcPr>
            <w:tcW w:type="dxa" w:w="2016"/>
            <w:tcMar>
              <w:top w:type="dxa" w:w="70"/>
              <w:left w:type="dxa" w:w="110"/>
              <w:bottom w:type="dxa" w:w="70"/>
              <w:right w:type="dxa" w:w="110"/>
            </w:tcMar>
            <w:vAlign w:val="top"/>
          </w:tcPr>
          <w:p>
            <w:r>
              <w:rPr>
                <w:b/>
                <w:bCs/>
                <w:color w:val="1A1A1A"/>
                <w:sz w:val="14"/>
                <w:szCs w:val="14"/>
              </w:rPr>
              <w:t xml:space="preserve">lookup_* (country, currency, zone_type, document_category, …)</w:t>
            </w:r>
          </w:p>
        </w:tc>
        <w:tc>
          <w:tcPr>
            <w:tcW w:type="dxa" w:w="4032"/>
            <w:tcMar>
              <w:top w:type="dxa" w:w="70"/>
              <w:left w:type="dxa" w:w="110"/>
              <w:bottom w:type="dxa" w:w="70"/>
              <w:right w:type="dxa" w:w="110"/>
            </w:tcMar>
            <w:vAlign w:val="top"/>
          </w:tcPr>
          <w:p>
            <w:r>
              <w:rPr>
                <w:b w:val="false"/>
                <w:bCs w:val="false"/>
                <w:color w:val="1A1A1A"/>
                <w:sz w:val="14"/>
                <w:szCs w:val="14"/>
              </w:rPr>
              <w:t xml:space="preserve">Shared reference/master data.</w:t>
            </w:r>
          </w:p>
        </w:tc>
        <w:tc>
          <w:tcPr>
            <w:tcW w:type="dxa" w:w="4032"/>
            <w:tcMar>
              <w:top w:type="dxa" w:w="70"/>
              <w:left w:type="dxa" w:w="110"/>
              <w:bottom w:type="dxa" w:w="70"/>
              <w:right w:type="dxa" w:w="110"/>
            </w:tcMar>
            <w:vAlign w:val="top"/>
          </w:tcPr>
          <w:p>
            <w:r>
              <w:rPr>
                <w:b w:val="false"/>
                <w:bCs w:val="false"/>
                <w:color w:val="1A1A1A"/>
                <w:sz w:val="14"/>
                <w:szCs w:val="14"/>
              </w:rPr>
              <w:t xml:space="preserve">referenced by business tables across all modules.</w:t>
            </w:r>
          </w:p>
        </w:tc>
      </w:tr>
    </w:tbl>
    <w:p>
      <w:pPr>
        <w:spacing w:after="90" w:before="180"/>
      </w:pPr>
      <w:r>
        <w:rPr>
          <w:b/>
          <w:bCs/>
          <w:color w:val="1A1D21"/>
          <w:sz w:val="19"/>
          <w:szCs w:val="19"/>
        </w:rPr>
        <w:t xml:space="preserve">Constraints &amp; Indexes</w:t>
      </w:r>
    </w:p>
    <w:p>
      <w:pPr>
        <w:pStyle w:val="ListParagraph"/>
        <w:numPr>
          <w:ilvl w:val="0"/>
          <w:numId w:val="1"/>
        </w:numPr>
        <w:spacing w:after="90" w:line="264"/>
      </w:pPr>
      <w:r>
        <w:t xml:space="preserve">Primary keys: UUID, generated at insert time (DDS Part 3 standard).</w:t>
      </w:r>
    </w:p>
    <w:p>
      <w:pPr>
        <w:pStyle w:val="ListParagraph"/>
        <w:numPr>
          <w:ilvl w:val="0"/>
          <w:numId w:val="1"/>
        </w:numPr>
        <w:spacing w:after="90" w:line="264"/>
      </w:pPr>
      <w:r>
        <w:t xml:space="preserve">Foreign keys: enforced with ON DELETE RESTRICT by default; ON DELETE CASCADE only where explicitly documented in DDS Part 5.</w:t>
      </w:r>
    </w:p>
    <w:p>
      <w:pPr>
        <w:pStyle w:val="ListParagraph"/>
        <w:numPr>
          <w:ilvl w:val="0"/>
          <w:numId w:val="1"/>
        </w:numPr>
        <w:spacing w:after="90" w:line="264"/>
      </w:pPr>
      <w:r>
        <w:t xml:space="preserve">Indexes: composite index on (organization_id, created_at) for every business table, per DDS Part 8 (Indexing Strategy); unique index on users.email.</w:t>
      </w:r>
    </w:p>
    <w:p>
      <w:pPr>
        <w:spacing w:after="90" w:before="180"/>
      </w:pPr>
      <w:r>
        <w:rPr>
          <w:b/>
          <w:bCs/>
          <w:color w:val="1A1D21"/>
          <w:sz w:val="19"/>
          <w:szCs w:val="19"/>
        </w:rPr>
        <w:t xml:space="preserve">Migrations &amp; Seed Data</w:t>
      </w:r>
    </w:p>
    <w:p>
      <w:pPr>
        <w:spacing w:after="150" w:line="276"/>
        <w:jc w:val="both"/>
      </w:pPr>
      <w:r>
        <w:t xml:space="preserve">Migrations are additive and reversible, applied via the migration runner established in this Work Package and reused by every subsequent Work Package's own migrations. Seed data loaded here includes the initial super-admin account (credentials rotated on first login), the default role set (Super Admin, Admin, Standard User), and all lookup/reference tables required for WP-04 to function on day one.</w:t>
      </w:r>
    </w:p>
    <w:p>
      <w:pPr>
        <w:pStyle w:val="Heading1"/>
        <w:pBdr>
          <w:bottom w:val="single" w:color="D3D7DC" w:sz="4" w:space="4"/>
        </w:pBdr>
        <w:spacing w:after="140" w:before="360"/>
      </w:pPr>
      <w:r>
        <w:rPr>
          <w:b/>
          <w:bCs/>
          <w:color w:val="B23A48"/>
          <w:sz w:val="26"/>
          <w:szCs w:val="26"/>
        </w:rPr>
        <w:t xml:space="preserve">10  </w:t>
      </w:r>
      <w:r>
        <w:rPr>
          <w:b/>
          <w:bCs/>
          <w:color w:val="2E3440"/>
          <w:sz w:val="26"/>
          <w:szCs w:val="26"/>
        </w:rPr>
        <w:t xml:space="preserve">Security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2E3440" w:val="clear"/>
            <w:tcMar>
              <w:top w:type="dxa" w:w="70"/>
              <w:left w:type="dxa" w:w="110"/>
              <w:bottom w:type="dxa" w:w="70"/>
              <w:right w:type="dxa" w:w="110"/>
            </w:tcMar>
            <w:vAlign w:val="top"/>
          </w:tcPr>
          <w:p>
            <w:r>
              <w:rPr>
                <w:b/>
                <w:bCs/>
                <w:color w:val="FFFFFF"/>
                <w:sz w:val="17"/>
                <w:szCs w:val="17"/>
              </w:rPr>
              <w:t xml:space="preserve">Control</w:t>
            </w:r>
          </w:p>
        </w:tc>
        <w:tc>
          <w:tcPr>
            <w:tcW w:type="dxa" w:w="8064"/>
            <w:shd w:fill="2E3440" w:val="clear"/>
            <w:tcMar>
              <w:top w:type="dxa" w:w="70"/>
              <w:left w:type="dxa" w:w="110"/>
              <w:bottom w:type="dxa" w:w="70"/>
              <w:right w:type="dxa" w:w="110"/>
            </w:tcMar>
            <w:vAlign w:val="top"/>
          </w:tcPr>
          <w:p>
            <w:r>
              <w:rPr>
                <w:b/>
                <w:bCs/>
                <w:color w:val="FFFFFF"/>
                <w:sz w:val="17"/>
                <w:szCs w:val="17"/>
              </w:rPr>
              <w:t xml:space="preserve">Requirement</w:t>
            </w:r>
          </w:p>
        </w:tc>
      </w:tr>
      <w:tr>
        <w:tc>
          <w:tcPr>
            <w:tcW w:type="dxa" w:w="2016"/>
            <w:tcMar>
              <w:top w:type="dxa" w:w="70"/>
              <w:left w:type="dxa" w:w="110"/>
              <w:bottom w:type="dxa" w:w="70"/>
              <w:right w:type="dxa" w:w="110"/>
            </w:tcMar>
            <w:vAlign w:val="top"/>
          </w:tcPr>
          <w:p>
            <w:r>
              <w:rPr>
                <w:b/>
                <w:bCs/>
                <w:color w:val="1A1A1A"/>
                <w:sz w:val="15"/>
                <w:szCs w:val="15"/>
              </w:rPr>
              <w:t xml:space="preserve">Authentication</w:t>
            </w:r>
          </w:p>
        </w:tc>
        <w:tc>
          <w:tcPr>
            <w:tcW w:type="dxa" w:w="8064"/>
            <w:tcMar>
              <w:top w:type="dxa" w:w="70"/>
              <w:left w:type="dxa" w:w="110"/>
              <w:bottom w:type="dxa" w:w="70"/>
              <w:right w:type="dxa" w:w="110"/>
            </w:tcMar>
            <w:vAlign w:val="top"/>
          </w:tcPr>
          <w:p>
            <w:r>
              <w:rPr>
                <w:b w:val="false"/>
                <w:bCs w:val="false"/>
                <w:color w:val="1A1A1A"/>
                <w:sz w:val="15"/>
                <w:szCs w:val="15"/>
              </w:rPr>
              <w:t xml:space="preserve">No direct database authentication for application users; service-account credentials only, rotated per Security Architecture policy.</w:t>
            </w:r>
          </w:p>
        </w:tc>
      </w:tr>
      <w:tr>
        <w:tc>
          <w:tcPr>
            <w:tcW w:type="dxa" w:w="2016"/>
            <w:tcMar>
              <w:top w:type="dxa" w:w="70"/>
              <w:left w:type="dxa" w:w="110"/>
              <w:bottom w:type="dxa" w:w="70"/>
              <w:right w:type="dxa" w:w="110"/>
            </w:tcMar>
            <w:vAlign w:val="top"/>
          </w:tcPr>
          <w:p>
            <w:r>
              <w:rPr>
                <w:b/>
                <w:bCs/>
                <w:color w:val="1A1A1A"/>
                <w:sz w:val="15"/>
                <w:szCs w:val="15"/>
              </w:rPr>
              <w:t xml:space="preserve">Authorization</w:t>
            </w:r>
          </w:p>
        </w:tc>
        <w:tc>
          <w:tcPr>
            <w:tcW w:type="dxa" w:w="8064"/>
            <w:tcMar>
              <w:top w:type="dxa" w:w="70"/>
              <w:left w:type="dxa" w:w="110"/>
              <w:bottom w:type="dxa" w:w="70"/>
              <w:right w:type="dxa" w:w="110"/>
            </w:tcMar>
            <w:vAlign w:val="top"/>
          </w:tcPr>
          <w:p>
            <w:r>
              <w:rPr>
                <w:b w:val="false"/>
                <w:bCs w:val="false"/>
                <w:color w:val="1A1A1A"/>
                <w:sz w:val="15"/>
                <w:szCs w:val="15"/>
              </w:rPr>
              <w:t xml:space="preserve">Database-level roles restrict schema-modification rights to the migration service account; application service accounts are granted DML-only, least-privilege access.</w:t>
            </w:r>
          </w:p>
        </w:tc>
      </w:tr>
      <w:tr>
        <w:tc>
          <w:tcPr>
            <w:tcW w:type="dxa" w:w="2016"/>
            <w:tcMar>
              <w:top w:type="dxa" w:w="70"/>
              <w:left w:type="dxa" w:w="110"/>
              <w:bottom w:type="dxa" w:w="70"/>
              <w:right w:type="dxa" w:w="110"/>
            </w:tcMar>
            <w:vAlign w:val="top"/>
          </w:tcPr>
          <w:p>
            <w:r>
              <w:rPr>
                <w:b/>
                <w:bCs/>
                <w:color w:val="1A1A1A"/>
                <w:sz w:val="15"/>
                <w:szCs w:val="15"/>
              </w:rPr>
              <w:t xml:space="preserve">RBAC / ABAC</w:t>
            </w:r>
          </w:p>
        </w:tc>
        <w:tc>
          <w:tcPr>
            <w:tcW w:type="dxa" w:w="8064"/>
            <w:tcMar>
              <w:top w:type="dxa" w:w="70"/>
              <w:left w:type="dxa" w:w="110"/>
              <w:bottom w:type="dxa" w:w="70"/>
              <w:right w:type="dxa" w:w="110"/>
            </w:tcMar>
            <w:vAlign w:val="top"/>
          </w:tcPr>
          <w:p>
            <w:r>
              <w:rPr>
                <w:b w:val="false"/>
                <w:bCs w:val="false"/>
                <w:color w:val="1A1A1A"/>
                <w:sz w:val="15"/>
                <w:szCs w:val="15"/>
              </w:rPr>
              <w:t xml:space="preserve">The users/roles/permissions schema established here is the foundation RBAC engine that WP-05 builds enforcement logic on top of; WP-01 itself does not enforce RBAC, it stores it.</w:t>
            </w:r>
          </w:p>
        </w:tc>
      </w:tr>
      <w:tr>
        <w:tc>
          <w:tcPr>
            <w:tcW w:type="dxa" w:w="2016"/>
            <w:tcMar>
              <w:top w:type="dxa" w:w="70"/>
              <w:left w:type="dxa" w:w="110"/>
              <w:bottom w:type="dxa" w:w="70"/>
              <w:right w:type="dxa" w:w="110"/>
            </w:tcMar>
            <w:vAlign w:val="top"/>
          </w:tcPr>
          <w:p>
            <w:r>
              <w:rPr>
                <w:b/>
                <w:bCs/>
                <w:color w:val="1A1A1A"/>
                <w:sz w:val="15"/>
                <w:szCs w:val="15"/>
              </w:rPr>
              <w:t xml:space="preserve">Encryption</w:t>
            </w:r>
          </w:p>
        </w:tc>
        <w:tc>
          <w:tcPr>
            <w:tcW w:type="dxa" w:w="8064"/>
            <w:tcMar>
              <w:top w:type="dxa" w:w="70"/>
              <w:left w:type="dxa" w:w="110"/>
              <w:bottom w:type="dxa" w:w="70"/>
              <w:right w:type="dxa" w:w="110"/>
            </w:tcMar>
            <w:vAlign w:val="top"/>
          </w:tcPr>
          <w:p>
            <w:r>
              <w:rPr>
                <w:b w:val="false"/>
                <w:bCs w:val="false"/>
                <w:color w:val="1A1A1A"/>
                <w:sz w:val="15"/>
                <w:szCs w:val="15"/>
              </w:rPr>
              <w:t xml:space="preserve">Encryption at rest for the full database (transparent data encryption) plus column-level encryption for fields classified Confidential or above (e.g., national ID numbers) per Security Architecture.</w:t>
            </w:r>
          </w:p>
        </w:tc>
      </w:tr>
      <w:tr>
        <w:tc>
          <w:tcPr>
            <w:tcW w:type="dxa" w:w="2016"/>
            <w:tcMar>
              <w:top w:type="dxa" w:w="70"/>
              <w:left w:type="dxa" w:w="110"/>
              <w:bottom w:type="dxa" w:w="70"/>
              <w:right w:type="dxa" w:w="110"/>
            </w:tcMar>
            <w:vAlign w:val="top"/>
          </w:tcPr>
          <w:p>
            <w:r>
              <w:rPr>
                <w:b/>
                <w:bCs/>
                <w:color w:val="1A1A1A"/>
                <w:sz w:val="15"/>
                <w:szCs w:val="15"/>
              </w:rPr>
              <w:t xml:space="preserve">Audit Logging</w:t>
            </w:r>
          </w:p>
        </w:tc>
        <w:tc>
          <w:tcPr>
            <w:tcW w:type="dxa" w:w="8064"/>
            <w:tcMar>
              <w:top w:type="dxa" w:w="70"/>
              <w:left w:type="dxa" w:w="110"/>
              <w:bottom w:type="dxa" w:w="70"/>
              <w:right w:type="dxa" w:w="110"/>
            </w:tcMar>
            <w:vAlign w:val="top"/>
          </w:tcPr>
          <w:p>
            <w:r>
              <w:rPr>
                <w:b w:val="false"/>
                <w:bCs w:val="false"/>
                <w:color w:val="1A1A1A"/>
                <w:sz w:val="15"/>
                <w:szCs w:val="15"/>
              </w:rPr>
              <w:t xml:space="preserve">Every write operation captured in audit_log with actor, timestamp, before/after state, and originating request ID.</w:t>
            </w:r>
          </w:p>
        </w:tc>
      </w:tr>
      <w:tr>
        <w:tc>
          <w:tcPr>
            <w:tcW w:type="dxa" w:w="2016"/>
            <w:tcMar>
              <w:top w:type="dxa" w:w="70"/>
              <w:left w:type="dxa" w:w="110"/>
              <w:bottom w:type="dxa" w:w="70"/>
              <w:right w:type="dxa" w:w="110"/>
            </w:tcMar>
            <w:vAlign w:val="top"/>
          </w:tcPr>
          <w:p>
            <w:r>
              <w:rPr>
                <w:b/>
                <w:bCs/>
                <w:color w:val="1A1A1A"/>
                <w:sz w:val="15"/>
                <w:szCs w:val="15"/>
              </w:rPr>
              <w:t xml:space="preserve">Compliance</w:t>
            </w:r>
          </w:p>
        </w:tc>
        <w:tc>
          <w:tcPr>
            <w:tcW w:type="dxa" w:w="8064"/>
            <w:tcMar>
              <w:top w:type="dxa" w:w="70"/>
              <w:left w:type="dxa" w:w="110"/>
              <w:bottom w:type="dxa" w:w="70"/>
              <w:right w:type="dxa" w:w="110"/>
            </w:tcMar>
            <w:vAlign w:val="top"/>
          </w:tcPr>
          <w:p>
            <w:r>
              <w:rPr>
                <w:b w:val="false"/>
                <w:bCs w:val="false"/>
                <w:color w:val="1A1A1A"/>
                <w:sz w:val="15"/>
                <w:szCs w:val="15"/>
              </w:rPr>
              <w:t xml:space="preserve">Hosting region, retention period, and backup handling reviewed against SRS Part 35 (Compliance Requirements) and donor data protection obligations.</w:t>
            </w:r>
          </w:p>
        </w:tc>
      </w:tr>
      <w:tr>
        <w:tc>
          <w:tcPr>
            <w:tcW w:type="dxa" w:w="2016"/>
            <w:tcMar>
              <w:top w:type="dxa" w:w="70"/>
              <w:left w:type="dxa" w:w="110"/>
              <w:bottom w:type="dxa" w:w="70"/>
              <w:right w:type="dxa" w:w="110"/>
            </w:tcMar>
            <w:vAlign w:val="top"/>
          </w:tcPr>
          <w:p>
            <w:r>
              <w:rPr>
                <w:b/>
                <w:bCs/>
                <w:color w:val="1A1A1A"/>
                <w:sz w:val="15"/>
                <w:szCs w:val="15"/>
              </w:rPr>
              <w:t xml:space="preserve">Privacy Controls</w:t>
            </w:r>
          </w:p>
        </w:tc>
        <w:tc>
          <w:tcPr>
            <w:tcW w:type="dxa" w:w="8064"/>
            <w:tcMar>
              <w:top w:type="dxa" w:w="70"/>
              <w:left w:type="dxa" w:w="110"/>
              <w:bottom w:type="dxa" w:w="70"/>
              <w:right w:type="dxa" w:w="110"/>
            </w:tcMar>
            <w:vAlign w:val="top"/>
          </w:tcPr>
          <w:p>
            <w:r>
              <w:rPr>
                <w:b w:val="false"/>
                <w:bCs w:val="false"/>
                <w:color w:val="1A1A1A"/>
                <w:sz w:val="15"/>
                <w:szCs w:val="15"/>
              </w:rPr>
              <w:t xml:space="preserve">Personally identifiable fields flagged in the data dictionary (DDS Part 4) and subject to the access restrictions WP-05 will enforce.</w:t>
            </w:r>
          </w:p>
        </w:tc>
      </w:tr>
    </w:tbl>
    <w:p>
      <w:pPr>
        <w:pStyle w:val="Heading1"/>
        <w:pBdr>
          <w:bottom w:val="single" w:color="D3D7DC" w:sz="4" w:space="4"/>
        </w:pBdr>
        <w:spacing w:after="140" w:before="360"/>
      </w:pPr>
      <w:r>
        <w:rPr>
          <w:b/>
          <w:bCs/>
          <w:color w:val="B23A48"/>
          <w:sz w:val="26"/>
          <w:szCs w:val="26"/>
        </w:rPr>
        <w:t xml:space="preserve">11  </w:t>
      </w:r>
      <w:r>
        <w:rPr>
          <w:b/>
          <w:bCs/>
          <w:color w:val="2E3440"/>
          <w:sz w:val="26"/>
          <w:szCs w:val="26"/>
        </w:rPr>
        <w:t xml:space="preserve">AI Components</w:t>
      </w:r>
    </w:p>
    <w:p>
      <w:pPr>
        <w:spacing w:after="150" w:line="276"/>
        <w:jc w:val="both"/>
      </w:pPr>
      <w:r>
        <w:t xml:space="preserve">Not applicable to WP-01. This Work Package establishes the relational foundation that WP-13 (Knowledge Repository), WP-15 (Search), and WP-23 (AI Assistant) will later extend with vector storage and embedding indexes; no AI component is implemented here.</w:t>
      </w:r>
    </w:p>
    <w:p>
      <w:pPr>
        <w:pStyle w:val="Heading1"/>
        <w:pBdr>
          <w:bottom w:val="single" w:color="D3D7DC" w:sz="4" w:space="4"/>
        </w:pBdr>
        <w:spacing w:after="140" w:before="360"/>
      </w:pPr>
      <w:r>
        <w:rPr>
          <w:b/>
          <w:bCs/>
          <w:color w:val="B23A48"/>
          <w:sz w:val="26"/>
          <w:szCs w:val="26"/>
        </w:rPr>
        <w:t xml:space="preserve">12  </w:t>
      </w:r>
      <w:r>
        <w:rPr>
          <w:b/>
          <w:bCs/>
          <w:color w:val="2E3440"/>
          <w:sz w:val="26"/>
          <w:szCs w:val="26"/>
        </w:rPr>
        <w:t xml:space="preserve">Integration Requirements</w:t>
      </w:r>
    </w:p>
    <w:p>
      <w:pPr>
        <w:spacing w:after="150" w:line="276"/>
        <w:jc w:val="both"/>
      </w:pPr>
      <w:r>
        <w:t xml:space="preserve">WP-01 has no external integrations. Its only internal integration point is with WP-02, which consumes this schema through a data access layer; and with WP-03, which provisions the environments this Work Package's migrations run against. No webhooks, message queues, or batch jobs external to the database itself are in scope.</w:t>
      </w:r>
    </w:p>
    <w:p>
      <w:pPr>
        <w:pStyle w:val="Heading1"/>
        <w:pBdr>
          <w:bottom w:val="single" w:color="D3D7DC" w:sz="4" w:space="4"/>
        </w:pBdr>
        <w:spacing w:after="140" w:before="360"/>
      </w:pPr>
      <w:r>
        <w:rPr>
          <w:b/>
          <w:bCs/>
          <w:color w:val="B23A48"/>
          <w:sz w:val="26"/>
          <w:szCs w:val="26"/>
        </w:rPr>
        <w:t xml:space="preserve">13  </w:t>
      </w:r>
      <w:r>
        <w:rPr>
          <w:b/>
          <w:bCs/>
          <w:color w:val="2E3440"/>
          <w:sz w:val="26"/>
          <w:szCs w:val="26"/>
        </w:rPr>
        <w:t xml:space="preserve">Testing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2E3440" w:val="clear"/>
            <w:tcMar>
              <w:top w:type="dxa" w:w="70"/>
              <w:left w:type="dxa" w:w="110"/>
              <w:bottom w:type="dxa" w:w="70"/>
              <w:right w:type="dxa" w:w="110"/>
            </w:tcMar>
            <w:vAlign w:val="top"/>
          </w:tcPr>
          <w:p>
            <w:r>
              <w:rPr>
                <w:b/>
                <w:bCs/>
                <w:color w:val="FFFFFF"/>
                <w:sz w:val="17"/>
                <w:szCs w:val="17"/>
              </w:rPr>
              <w:t xml:space="preserve">Test Type</w:t>
            </w:r>
          </w:p>
        </w:tc>
        <w:tc>
          <w:tcPr>
            <w:tcW w:type="dxa" w:w="7862"/>
            <w:shd w:fill="2E3440" w:val="clear"/>
            <w:tcMar>
              <w:top w:type="dxa" w:w="70"/>
              <w:left w:type="dxa" w:w="110"/>
              <w:bottom w:type="dxa" w:w="70"/>
              <w:right w:type="dxa" w:w="110"/>
            </w:tcMar>
            <w:vAlign w:val="top"/>
          </w:tcPr>
          <w:p>
            <w:r>
              <w:rPr>
                <w:b/>
                <w:bCs/>
                <w:color w:val="FFFFFF"/>
                <w:sz w:val="17"/>
                <w:szCs w:val="17"/>
              </w:rPr>
              <w:t xml:space="preserve">Coverage</w:t>
            </w:r>
          </w:p>
        </w:tc>
      </w:tr>
      <w:tr>
        <w:tc>
          <w:tcPr>
            <w:tcW w:type="dxa" w:w="2218"/>
            <w:tcMar>
              <w:top w:type="dxa" w:w="70"/>
              <w:left w:type="dxa" w:w="110"/>
              <w:bottom w:type="dxa" w:w="70"/>
              <w:right w:type="dxa" w:w="110"/>
            </w:tcMar>
            <w:vAlign w:val="top"/>
          </w:tcPr>
          <w:p>
            <w:r>
              <w:rPr>
                <w:b/>
                <w:bCs/>
                <w:color w:val="1A1A1A"/>
                <w:sz w:val="15"/>
                <w:szCs w:val="15"/>
              </w:rPr>
              <w:t xml:space="preserve">Unit Tests</w:t>
            </w:r>
          </w:p>
        </w:tc>
        <w:tc>
          <w:tcPr>
            <w:tcW w:type="dxa" w:w="7862"/>
            <w:tcMar>
              <w:top w:type="dxa" w:w="70"/>
              <w:left w:type="dxa" w:w="110"/>
              <w:bottom w:type="dxa" w:w="70"/>
              <w:right w:type="dxa" w:w="110"/>
            </w:tcMar>
            <w:vAlign w:val="top"/>
          </w:tcPr>
          <w:p>
            <w:r>
              <w:rPr>
                <w:b w:val="false"/>
                <w:bCs w:val="false"/>
                <w:color w:val="1A1A1A"/>
                <w:sz w:val="15"/>
                <w:szCs w:val="15"/>
              </w:rPr>
              <w:t xml:space="preserve">Migration up/down correctness; constraint enforcement; seed-data idempotency.</w:t>
            </w:r>
          </w:p>
        </w:tc>
      </w:tr>
      <w:tr>
        <w:tc>
          <w:tcPr>
            <w:tcW w:type="dxa" w:w="2218"/>
            <w:tcMar>
              <w:top w:type="dxa" w:w="70"/>
              <w:left w:type="dxa" w:w="110"/>
              <w:bottom w:type="dxa" w:w="70"/>
              <w:right w:type="dxa" w:w="110"/>
            </w:tcMar>
            <w:vAlign w:val="top"/>
          </w:tcPr>
          <w:p>
            <w:r>
              <w:rPr>
                <w:b/>
                <w:bCs/>
                <w:color w:val="1A1A1A"/>
                <w:sz w:val="15"/>
                <w:szCs w:val="15"/>
              </w:rPr>
              <w:t xml:space="preserve">Integration Tests</w:t>
            </w:r>
          </w:p>
        </w:tc>
        <w:tc>
          <w:tcPr>
            <w:tcW w:type="dxa" w:w="7862"/>
            <w:tcMar>
              <w:top w:type="dxa" w:w="70"/>
              <w:left w:type="dxa" w:w="110"/>
              <w:bottom w:type="dxa" w:w="70"/>
              <w:right w:type="dxa" w:w="110"/>
            </w:tcMar>
            <w:vAlign w:val="top"/>
          </w:tcPr>
          <w:p>
            <w:r>
              <w:rPr>
                <w:b w:val="false"/>
                <w:bCs w:val="false"/>
                <w:color w:val="1A1A1A"/>
                <w:sz w:val="15"/>
                <w:szCs w:val="15"/>
              </w:rPr>
              <w:t xml:space="preserve">Full migration chain applies cleanly to a fresh environment; audit-logging interceptor fires correctly for insert/update/delete.</w:t>
            </w:r>
          </w:p>
        </w:tc>
      </w:tr>
      <w:tr>
        <w:tc>
          <w:tcPr>
            <w:tcW w:type="dxa" w:w="2218"/>
            <w:tcMar>
              <w:top w:type="dxa" w:w="70"/>
              <w:left w:type="dxa" w:w="110"/>
              <w:bottom w:type="dxa" w:w="70"/>
              <w:right w:type="dxa" w:w="110"/>
            </w:tcMar>
            <w:vAlign w:val="top"/>
          </w:tcPr>
          <w:p>
            <w:r>
              <w:rPr>
                <w:b/>
                <w:bCs/>
                <w:color w:val="1A1A1A"/>
                <w:sz w:val="15"/>
                <w:szCs w:val="15"/>
              </w:rPr>
              <w:t xml:space="preserve">Security Tests</w:t>
            </w:r>
          </w:p>
        </w:tc>
        <w:tc>
          <w:tcPr>
            <w:tcW w:type="dxa" w:w="7862"/>
            <w:tcMar>
              <w:top w:type="dxa" w:w="70"/>
              <w:left w:type="dxa" w:w="110"/>
              <w:bottom w:type="dxa" w:w="70"/>
              <w:right w:type="dxa" w:w="110"/>
            </w:tcMar>
            <w:vAlign w:val="top"/>
          </w:tcPr>
          <w:p>
            <w:r>
              <w:rPr>
                <w:b w:val="false"/>
                <w:bCs w:val="false"/>
                <w:color w:val="1A1A1A"/>
                <w:sz w:val="15"/>
                <w:szCs w:val="15"/>
              </w:rPr>
              <w:t xml:space="preserve">Encryption-at-rest verification; service-account privilege boundary testing (UT-DB-01, IT-DB-01, ST-DB-01 per MEKB Part 7).</w:t>
            </w:r>
          </w:p>
        </w:tc>
      </w:tr>
      <w:tr>
        <w:tc>
          <w:tcPr>
            <w:tcW w:type="dxa" w:w="2218"/>
            <w:tcMar>
              <w:top w:type="dxa" w:w="70"/>
              <w:left w:type="dxa" w:w="110"/>
              <w:bottom w:type="dxa" w:w="70"/>
              <w:right w:type="dxa" w:w="110"/>
            </w:tcMar>
            <w:vAlign w:val="top"/>
          </w:tcPr>
          <w:p>
            <w:r>
              <w:rPr>
                <w:b/>
                <w:bCs/>
                <w:color w:val="1A1A1A"/>
                <w:sz w:val="15"/>
                <w:szCs w:val="15"/>
              </w:rPr>
              <w:t xml:space="preserve">Performance Tests</w:t>
            </w:r>
          </w:p>
        </w:tc>
        <w:tc>
          <w:tcPr>
            <w:tcW w:type="dxa" w:w="7862"/>
            <w:tcMar>
              <w:top w:type="dxa" w:w="70"/>
              <w:left w:type="dxa" w:w="110"/>
              <w:bottom w:type="dxa" w:w="70"/>
              <w:right w:type="dxa" w:w="110"/>
            </w:tcMar>
            <w:vAlign w:val="top"/>
          </w:tcPr>
          <w:p>
            <w:r>
              <w:rPr>
                <w:b w:val="false"/>
                <w:bCs w:val="false"/>
                <w:color w:val="1A1A1A"/>
                <w:sz w:val="15"/>
                <w:szCs w:val="15"/>
              </w:rPr>
              <w:t xml:space="preserve">Query latency under projected production volume against SRS Part 33 thresholds (PT-DB-01).</w:t>
            </w:r>
          </w:p>
        </w:tc>
      </w:tr>
      <w:tr>
        <w:tc>
          <w:tcPr>
            <w:tcW w:type="dxa" w:w="2218"/>
            <w:tcMar>
              <w:top w:type="dxa" w:w="70"/>
              <w:left w:type="dxa" w:w="110"/>
              <w:bottom w:type="dxa" w:w="70"/>
              <w:right w:type="dxa" w:w="110"/>
            </w:tcMar>
            <w:vAlign w:val="top"/>
          </w:tcPr>
          <w:p>
            <w:r>
              <w:rPr>
                <w:b/>
                <w:bCs/>
                <w:color w:val="1A1A1A"/>
                <w:sz w:val="15"/>
                <w:szCs w:val="15"/>
              </w:rPr>
              <w:t xml:space="preserve">UAT</w:t>
            </w:r>
          </w:p>
        </w:tc>
        <w:tc>
          <w:tcPr>
            <w:tcW w:type="dxa" w:w="7862"/>
            <w:tcMar>
              <w:top w:type="dxa" w:w="70"/>
              <w:left w:type="dxa" w:w="110"/>
              <w:bottom w:type="dxa" w:w="70"/>
              <w:right w:type="dxa" w:w="110"/>
            </w:tcMar>
            <w:vAlign w:val="top"/>
          </w:tcPr>
          <w:p>
            <w:r>
              <w:rPr>
                <w:b w:val="false"/>
                <w:bCs w:val="false"/>
                <w:color w:val="1A1A1A"/>
                <w:sz w:val="15"/>
                <w:szCs w:val="15"/>
              </w:rPr>
              <w:t xml:space="preserve">Not applicable — WP-01 has no end-user-facing surface; validated instead via the WP-04 Administration Console UAT once master data administration is live.</w:t>
            </w:r>
          </w:p>
        </w:tc>
      </w:tr>
      <w:tr>
        <w:tc>
          <w:tcPr>
            <w:tcW w:type="dxa" w:w="2218"/>
            <w:tcMar>
              <w:top w:type="dxa" w:w="70"/>
              <w:left w:type="dxa" w:w="110"/>
              <w:bottom w:type="dxa" w:w="70"/>
              <w:right w:type="dxa" w:w="110"/>
            </w:tcMar>
            <w:vAlign w:val="top"/>
          </w:tcPr>
          <w:p>
            <w:r>
              <w:rPr>
                <w:b/>
                <w:bCs/>
                <w:color w:val="1A1A1A"/>
                <w:sz w:val="15"/>
                <w:szCs w:val="15"/>
              </w:rPr>
              <w:t xml:space="preserve">Regression Tests</w:t>
            </w:r>
          </w:p>
        </w:tc>
        <w:tc>
          <w:tcPr>
            <w:tcW w:type="dxa" w:w="7862"/>
            <w:tcMar>
              <w:top w:type="dxa" w:w="70"/>
              <w:left w:type="dxa" w:w="110"/>
              <w:bottom w:type="dxa" w:w="70"/>
              <w:right w:type="dxa" w:w="110"/>
            </w:tcMar>
            <w:vAlign w:val="top"/>
          </w:tcPr>
          <w:p>
            <w:r>
              <w:rPr>
                <w:b w:val="false"/>
                <w:bCs w:val="false"/>
                <w:color w:val="1A1A1A"/>
                <w:sz w:val="15"/>
                <w:szCs w:val="15"/>
              </w:rPr>
              <w:t xml:space="preserve">Full migration and seed-data suite re-run on every subsequent Work Package's migration to confirm no breaking change to the WP-01 baseline.</w:t>
            </w:r>
          </w:p>
        </w:tc>
      </w:tr>
    </w:tbl>
    <w:p>
      <w:pPr>
        <w:pStyle w:val="Heading1"/>
        <w:pBdr>
          <w:bottom w:val="single" w:color="D3D7DC" w:sz="4" w:space="4"/>
        </w:pBdr>
        <w:spacing w:after="140" w:before="360"/>
      </w:pPr>
      <w:r>
        <w:rPr>
          <w:b/>
          <w:bCs/>
          <w:color w:val="B23A48"/>
          <w:sz w:val="26"/>
          <w:szCs w:val="26"/>
        </w:rPr>
        <w:t xml:space="preserve">14  </w:t>
      </w:r>
      <w:r>
        <w:rPr>
          <w:b/>
          <w:bCs/>
          <w:color w:val="2E3440"/>
          <w:sz w:val="26"/>
          <w:szCs w:val="26"/>
        </w:rPr>
        <w:t xml:space="preserve">Documentation Updates</w:t>
      </w:r>
    </w:p>
    <w:p>
      <w:pPr>
        <w:pStyle w:val="ListParagraph"/>
        <w:numPr>
          <w:ilvl w:val="0"/>
          <w:numId w:val="1"/>
        </w:numPr>
        <w:spacing w:after="90" w:line="264"/>
      </w:pPr>
      <w:r>
        <w:t xml:space="preserve">Architecture diagrams: Data Architecture diagram updated to reflect the as-built schema.</w:t>
      </w:r>
    </w:p>
    <w:p>
      <w:pPr>
        <w:pStyle w:val="ListParagraph"/>
        <w:numPr>
          <w:ilvl w:val="0"/>
          <w:numId w:val="1"/>
        </w:numPr>
        <w:spacing w:after="90" w:line="264"/>
      </w:pPr>
      <w:r>
        <w:t xml:space="preserve">ADR: Architecture Decision Record for the choice of database engine, ID strategy (UUID), and soft-delete convention.</w:t>
      </w:r>
    </w:p>
    <w:p>
      <w:pPr>
        <w:pStyle w:val="ListParagraph"/>
        <w:numPr>
          <w:ilvl w:val="0"/>
          <w:numId w:val="1"/>
        </w:numPr>
        <w:spacing w:after="90" w:line="264"/>
      </w:pPr>
      <w:r>
        <w:t xml:space="preserve">Traceability Matrix: NFR-DB-01/02, NFR-SEC-01, NFR-AUDIT-01, NFR-PERF-01, BR-DATA-01, COMP-01 marked implemented.</w:t>
      </w:r>
    </w:p>
    <w:p>
      <w:pPr>
        <w:pStyle w:val="ListParagraph"/>
        <w:numPr>
          <w:ilvl w:val="0"/>
          <w:numId w:val="1"/>
        </w:numPr>
        <w:spacing w:after="90" w:line="264"/>
      </w:pPr>
      <w:r>
        <w:t xml:space="preserve">Knowledge Base: DDS Parts 1-9 cross-referenced as the authoritative schema reference; no restatement, only linkage.</w:t>
      </w:r>
    </w:p>
    <w:p>
      <w:pPr>
        <w:pStyle w:val="ListParagraph"/>
        <w:numPr>
          <w:ilvl w:val="0"/>
          <w:numId w:val="1"/>
        </w:numPr>
        <w:spacing w:after="90" w:line="264"/>
      </w:pPr>
      <w:r>
        <w:t xml:space="preserve">Administrator Guide: initial section on backup/restore procedure and super-admin first-login rotation.</w:t>
      </w:r>
    </w:p>
    <w:p>
      <w:pPr>
        <w:pStyle w:val="Heading1"/>
        <w:pBdr>
          <w:bottom w:val="single" w:color="D3D7DC" w:sz="4" w:space="4"/>
        </w:pBdr>
        <w:spacing w:after="140" w:before="360"/>
      </w:pPr>
      <w:r>
        <w:rPr>
          <w:b/>
          <w:bCs/>
          <w:color w:val="B23A48"/>
          <w:sz w:val="26"/>
          <w:szCs w:val="26"/>
        </w:rPr>
        <w:t xml:space="preserve">15  </w:t>
      </w:r>
      <w:r>
        <w:rPr>
          <w:b/>
          <w:bCs/>
          <w:color w:val="2E3440"/>
          <w:sz w:val="26"/>
          <w:szCs w:val="26"/>
        </w:rPr>
        <w:t xml:space="preserve">Deliverables</w:t>
      </w:r>
    </w:p>
    <w:p>
      <w:pPr>
        <w:pStyle w:val="ListParagraph"/>
        <w:numPr>
          <w:ilvl w:val="0"/>
          <w:numId w:val="1"/>
        </w:numPr>
        <w:spacing w:after="90" w:line="264"/>
      </w:pPr>
      <w:r>
        <w:t xml:space="preserve">Source code: migration scripts, seed-data scripts, audit-logging interceptor.</w:t>
      </w:r>
    </w:p>
    <w:p>
      <w:pPr>
        <w:pStyle w:val="ListParagraph"/>
        <w:numPr>
          <w:ilvl w:val="0"/>
          <w:numId w:val="1"/>
        </w:numPr>
        <w:spacing w:after="90" w:line="264"/>
      </w:pPr>
      <w:r>
        <w:t xml:space="preserve">Configuration: environment-specific connection and pooling configuration (non-secret) for dev/test/staging/production.</w:t>
      </w:r>
    </w:p>
    <w:p>
      <w:pPr>
        <w:pStyle w:val="ListParagraph"/>
        <w:numPr>
          <w:ilvl w:val="0"/>
          <w:numId w:val="1"/>
        </w:numPr>
        <w:spacing w:after="90" w:line="264"/>
      </w:pPr>
      <w:r>
        <w:t xml:space="preserve">Database migrations: full initial migration chain establishing the core schema.</w:t>
      </w:r>
    </w:p>
    <w:p>
      <w:pPr>
        <w:pStyle w:val="ListParagraph"/>
        <w:numPr>
          <w:ilvl w:val="0"/>
          <w:numId w:val="1"/>
        </w:numPr>
        <w:spacing w:after="90" w:line="264"/>
      </w:pPr>
      <w:r>
        <w:t xml:space="preserve">Tests: unit, integration, security, and performance test suites listed in Section 13.</w:t>
      </w:r>
    </w:p>
    <w:p>
      <w:pPr>
        <w:pStyle w:val="ListParagraph"/>
        <w:numPr>
          <w:ilvl w:val="0"/>
          <w:numId w:val="1"/>
        </w:numPr>
        <w:spacing w:after="90" w:line="264"/>
      </w:pPr>
      <w:r>
        <w:t xml:space="preserve">Documentation: updated Data Architecture diagram, ADR, traceability matrix entries.</w:t>
      </w:r>
    </w:p>
    <w:p>
      <w:pPr>
        <w:pStyle w:val="ListParagraph"/>
        <w:numPr>
          <w:ilvl w:val="0"/>
          <w:numId w:val="1"/>
        </w:numPr>
        <w:spacing w:after="90" w:line="264"/>
      </w:pPr>
      <w:r>
        <w:t xml:space="preserve">Deployment scripts: migration-runner invocation scripts wired into the WP-03 CI/CD pipeline.</w:t>
      </w:r>
    </w:p>
    <w:p>
      <w:pPr>
        <w:pStyle w:val="ListParagraph"/>
        <w:numPr>
          <w:ilvl w:val="0"/>
          <w:numId w:val="1"/>
        </w:numPr>
        <w:spacing w:after="90" w:line="264"/>
      </w:pPr>
      <w:r>
        <w:t xml:space="preserve">Monitoring configuration: backup-verification and index-health job definitions.</w:t>
      </w:r>
    </w:p>
    <w:p>
      <w:pPr>
        <w:pStyle w:val="Heading1"/>
        <w:pBdr>
          <w:bottom w:val="single" w:color="D3D7DC" w:sz="4" w:space="4"/>
        </w:pBdr>
        <w:spacing w:after="140" w:before="360"/>
      </w:pPr>
      <w:r>
        <w:rPr>
          <w:b/>
          <w:bCs/>
          <w:color w:val="B23A48"/>
          <w:sz w:val="26"/>
          <w:szCs w:val="26"/>
        </w:rPr>
        <w:t xml:space="preserve">16  </w:t>
      </w:r>
      <w:r>
        <w:rPr>
          <w:b/>
          <w:bCs/>
          <w:color w:val="2E3440"/>
          <w:sz w:val="26"/>
          <w:szCs w:val="26"/>
        </w:rPr>
        <w:t xml:space="preserve">Acceptance Criteria</w:t>
      </w:r>
    </w:p>
    <w:p>
      <w:pPr>
        <w:spacing w:after="90" w:line="264"/>
      </w:pPr>
      <w:r>
        <w:rPr>
          <w:b/>
          <w:bCs/>
          <w:color w:val="2E3440"/>
        </w:rPr>
        <w:t xml:space="preserve">1. </w:t>
      </w:r>
      <w:r>
        <w:t xml:space="preserve">Full migration chain applies cleanly, idempotently, and reversibly to a fresh environment.</w:t>
      </w:r>
    </w:p>
    <w:p>
      <w:pPr>
        <w:spacing w:after="90" w:line="264"/>
      </w:pPr>
      <w:r>
        <w:rPr>
          <w:b/>
          <w:bCs/>
          <w:color w:val="2E3440"/>
        </w:rPr>
        <w:t xml:space="preserve">2. </w:t>
      </w:r>
      <w:r>
        <w:t xml:space="preserve">Every business table enforces organization/zone scoping and referential integrity at the database layer (NFR-DB-01, BR-DATA-01).</w:t>
      </w:r>
    </w:p>
    <w:p>
      <w:pPr>
        <w:spacing w:after="90" w:line="264"/>
      </w:pPr>
      <w:r>
        <w:rPr>
          <w:b/>
          <w:bCs/>
          <w:color w:val="2E3440"/>
        </w:rPr>
        <w:t xml:space="preserve">3. </w:t>
      </w:r>
      <w:r>
        <w:t xml:space="preserve">Confidential-classified data is encrypted at rest, verified by the Security Architect (NFR-SEC-01).</w:t>
      </w:r>
    </w:p>
    <w:p>
      <w:pPr>
        <w:spacing w:after="90" w:line="264"/>
      </w:pPr>
      <w:r>
        <w:rPr>
          <w:b/>
          <w:bCs/>
          <w:color w:val="2E3440"/>
        </w:rPr>
        <w:t xml:space="preserve">4. </w:t>
      </w:r>
      <w:r>
        <w:t xml:space="preserve">100% of insert/update/delete operations on business tables are captured in audit_log with actor and timestamp (NFR-AUDIT-01).</w:t>
      </w:r>
    </w:p>
    <w:p>
      <w:pPr>
        <w:spacing w:after="90" w:line="264"/>
      </w:pPr>
      <w:r>
        <w:rPr>
          <w:b/>
          <w:bCs/>
          <w:color w:val="2E3440"/>
        </w:rPr>
        <w:t xml:space="preserve">5. </w:t>
      </w:r>
      <w:r>
        <w:t xml:space="preserve">Indexed queries on primary entities meet SRS Part 33 performance thresholds under load test (NFR-PERF-01).</w:t>
      </w:r>
    </w:p>
    <w:p>
      <w:pPr>
        <w:spacing w:after="90" w:line="264"/>
      </w:pPr>
      <w:r>
        <w:rPr>
          <w:b/>
          <w:bCs/>
          <w:color w:val="2E3440"/>
        </w:rPr>
        <w:t xml:space="preserve">6. </w:t>
      </w:r>
      <w:r>
        <w:t xml:space="preserve">Backup and restore procedure is tested end to end with a documented, successful restore.</w:t>
      </w:r>
    </w:p>
    <w:p>
      <w:pPr>
        <w:pStyle w:val="Heading1"/>
        <w:pBdr>
          <w:bottom w:val="single" w:color="D3D7DC" w:sz="4" w:space="4"/>
        </w:pBdr>
        <w:spacing w:after="140" w:before="360"/>
      </w:pPr>
      <w:r>
        <w:rPr>
          <w:b/>
          <w:bCs/>
          <w:color w:val="B23A48"/>
          <w:sz w:val="26"/>
          <w:szCs w:val="26"/>
        </w:rPr>
        <w:t xml:space="preserve">17  </w:t>
      </w:r>
      <w:r>
        <w:rPr>
          <w:b/>
          <w:bCs/>
          <w:color w:val="2E3440"/>
          <w:sz w:val="26"/>
          <w:szCs w:val="26"/>
        </w:rPr>
        <w:t xml:space="preserve">Definition of Ready</w:t>
      </w:r>
    </w:p>
    <w:p>
      <w:pPr>
        <w:pStyle w:val="ListParagraph"/>
        <w:numPr>
          <w:ilvl w:val="0"/>
          <w:numId w:val="1"/>
        </w:numPr>
        <w:spacing w:after="90" w:line="264"/>
      </w:pPr>
      <w:r>
        <w:t xml:space="preserve">Enterprise Solution Architecture and DDS Parts 1-9 approved and unchanged since last review.</w:t>
      </w:r>
    </w:p>
    <w:p>
      <w:pPr>
        <w:pStyle w:val="ListParagraph"/>
        <w:numPr>
          <w:ilvl w:val="0"/>
          <w:numId w:val="1"/>
        </w:numPr>
        <w:spacing w:after="90" w:line="264"/>
      </w:pPr>
      <w:r>
        <w:t xml:space="preserve">Target database engine and hosting model confirmed available in the target cloud environment.</w:t>
      </w:r>
    </w:p>
    <w:p>
      <w:pPr>
        <w:pStyle w:val="ListParagraph"/>
        <w:numPr>
          <w:ilvl w:val="0"/>
          <w:numId w:val="1"/>
        </w:numPr>
        <w:spacing w:after="90" w:line="264"/>
      </w:pPr>
      <w:r>
        <w:t xml:space="preserve">Security Architecture's data classification scheme finalized (needed to know which columns require encryption).</w:t>
      </w:r>
    </w:p>
    <w:p>
      <w:pPr>
        <w:pStyle w:val="Heading1"/>
        <w:pBdr>
          <w:bottom w:val="single" w:color="D3D7DC" w:sz="4" w:space="4"/>
        </w:pBdr>
        <w:spacing w:after="140" w:before="360"/>
      </w:pPr>
      <w:r>
        <w:rPr>
          <w:b/>
          <w:bCs/>
          <w:color w:val="B23A48"/>
          <w:sz w:val="26"/>
          <w:szCs w:val="26"/>
        </w:rPr>
        <w:t xml:space="preserve">18  </w:t>
      </w:r>
      <w:r>
        <w:rPr>
          <w:b/>
          <w:bCs/>
          <w:color w:val="2E3440"/>
          <w:sz w:val="26"/>
          <w:szCs w:val="26"/>
        </w:rPr>
        <w:t xml:space="preserve">Definition of Done</w:t>
      </w:r>
    </w:p>
    <w:p>
      <w:pPr>
        <w:pStyle w:val="ListParagraph"/>
        <w:numPr>
          <w:ilvl w:val="0"/>
          <w:numId w:val="1"/>
        </w:numPr>
        <w:spacing w:after="90" w:line="264"/>
      </w:pPr>
      <w:r>
        <w:t xml:space="preserve">All Section 16 acceptance criteria met and independently verified.</w:t>
      </w:r>
    </w:p>
    <w:p>
      <w:pPr>
        <w:pStyle w:val="ListParagraph"/>
        <w:numPr>
          <w:ilvl w:val="0"/>
          <w:numId w:val="1"/>
        </w:numPr>
        <w:spacing w:after="90" w:line="264"/>
      </w:pPr>
      <w:r>
        <w:t xml:space="preserve">Peer review of every migration script approved by a second Data/Backend engineer.</w:t>
      </w:r>
    </w:p>
    <w:p>
      <w:pPr>
        <w:pStyle w:val="ListParagraph"/>
        <w:numPr>
          <w:ilvl w:val="0"/>
          <w:numId w:val="1"/>
        </w:numPr>
        <w:spacing w:after="90" w:line="264"/>
      </w:pPr>
      <w:r>
        <w:t xml:space="preserve">Security Architect sign-off on encryption and access-control implementation.</w:t>
      </w:r>
    </w:p>
    <w:p>
      <w:pPr>
        <w:pStyle w:val="ListParagraph"/>
        <w:numPr>
          <w:ilvl w:val="0"/>
          <w:numId w:val="1"/>
        </w:numPr>
        <w:spacing w:after="90" w:line="264"/>
      </w:pPr>
      <w:r>
        <w:t xml:space="preserve">Traceability Matrix updated for all Section 4 requirement IDs.</w:t>
      </w:r>
    </w:p>
    <w:p>
      <w:pPr>
        <w:pStyle w:val="ListParagraph"/>
        <w:numPr>
          <w:ilvl w:val="0"/>
          <w:numId w:val="1"/>
        </w:numPr>
        <w:spacing w:after="90" w:line="264"/>
      </w:pPr>
      <w:r>
        <w:t xml:space="preserve">ADR recorded and merged.</w:t>
      </w:r>
    </w:p>
    <w:p>
      <w:pPr>
        <w:pStyle w:val="ListParagraph"/>
        <w:numPr>
          <w:ilvl w:val="0"/>
          <w:numId w:val="1"/>
        </w:numPr>
        <w:spacing w:after="90" w:line="264"/>
      </w:pPr>
      <w:r>
        <w:t xml:space="preserve">Definition of Done sign-off recorded by Technical Lead and Data Architect (per EWPL Part 2, Table C).</w:t>
      </w:r>
    </w:p>
    <w:p>
      <w:pPr>
        <w:pStyle w:val="Heading1"/>
        <w:pBdr>
          <w:bottom w:val="single" w:color="D3D7DC" w:sz="4" w:space="4"/>
        </w:pBdr>
        <w:spacing w:after="140" w:before="360"/>
      </w:pPr>
      <w:r>
        <w:rPr>
          <w:b/>
          <w:bCs/>
          <w:color w:val="B23A48"/>
          <w:sz w:val="26"/>
          <w:szCs w:val="26"/>
        </w:rPr>
        <w:t xml:space="preserve">19  </w:t>
      </w:r>
      <w:r>
        <w:rPr>
          <w:b/>
          <w:bCs/>
          <w:color w:val="2E3440"/>
          <w:sz w:val="26"/>
          <w:szCs w:val="26"/>
        </w:rPr>
        <w:t xml:space="preserve">Risks &amp;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27"/>
        <w:gridCol w:w="1411"/>
        <w:gridCol w:w="5242"/>
      </w:tblGrid>
      <w:tr>
        <w:trPr>
          <w:tblHeader/>
        </w:trPr>
        <w:tc>
          <w:tcPr>
            <w:tcW w:type="dxa" w:w="3427"/>
            <w:shd w:fill="2E3440" w:val="clear"/>
            <w:tcMar>
              <w:top w:type="dxa" w:w="70"/>
              <w:left w:type="dxa" w:w="110"/>
              <w:bottom w:type="dxa" w:w="70"/>
              <w:right w:type="dxa" w:w="110"/>
            </w:tcMar>
            <w:vAlign w:val="top"/>
          </w:tcPr>
          <w:p>
            <w:r>
              <w:rPr>
                <w:b/>
                <w:bCs/>
                <w:color w:val="FFFFFF"/>
                <w:sz w:val="17"/>
                <w:szCs w:val="17"/>
              </w:rPr>
              <w:t xml:space="preserve">Risk</w:t>
            </w:r>
          </w:p>
        </w:tc>
        <w:tc>
          <w:tcPr>
            <w:tcW w:type="dxa" w:w="1411"/>
            <w:shd w:fill="2E3440" w:val="clear"/>
            <w:tcMar>
              <w:top w:type="dxa" w:w="70"/>
              <w:left w:type="dxa" w:w="110"/>
              <w:bottom w:type="dxa" w:w="70"/>
              <w:right w:type="dxa" w:w="110"/>
            </w:tcMar>
            <w:vAlign w:val="top"/>
          </w:tcPr>
          <w:p>
            <w:r>
              <w:rPr>
                <w:b/>
                <w:bCs/>
                <w:color w:val="FFFFFF"/>
                <w:sz w:val="17"/>
                <w:szCs w:val="17"/>
              </w:rPr>
              <w:t xml:space="preserve">Category</w:t>
            </w:r>
          </w:p>
        </w:tc>
        <w:tc>
          <w:tcPr>
            <w:tcW w:type="dxa" w:w="5242"/>
            <w:shd w:fill="2E3440" w:val="clear"/>
            <w:tcMar>
              <w:top w:type="dxa" w:w="70"/>
              <w:left w:type="dxa" w:w="110"/>
              <w:bottom w:type="dxa" w:w="70"/>
              <w:right w:type="dxa" w:w="110"/>
            </w:tcMar>
            <w:vAlign w:val="top"/>
          </w:tcPr>
          <w:p>
            <w:r>
              <w:rPr>
                <w:b/>
                <w:bCs/>
                <w:color w:val="FFFFFF"/>
                <w:sz w:val="17"/>
                <w:szCs w:val="17"/>
              </w:rPr>
              <w:t xml:space="preserve">Mitigation</w:t>
            </w:r>
          </w:p>
        </w:tc>
      </w:tr>
      <w:tr>
        <w:tc>
          <w:tcPr>
            <w:tcW w:type="dxa" w:w="3427"/>
            <w:tcMar>
              <w:top w:type="dxa" w:w="70"/>
              <w:left w:type="dxa" w:w="110"/>
              <w:bottom w:type="dxa" w:w="70"/>
              <w:right w:type="dxa" w:w="110"/>
            </w:tcMar>
            <w:vAlign w:val="top"/>
          </w:tcPr>
          <w:p>
            <w:r>
              <w:rPr>
                <w:b/>
                <w:bCs/>
                <w:color w:val="1A1A1A"/>
                <w:sz w:val="14"/>
                <w:szCs w:val="14"/>
              </w:rPr>
              <w:t xml:space="preserve">Schema redesign required mid-programme after a later module reveals an unanticipated data need.</w:t>
            </w:r>
          </w:p>
        </w:tc>
        <w:tc>
          <w:tcPr>
            <w:tcW w:type="dxa" w:w="1411"/>
            <w:tcMar>
              <w:top w:type="dxa" w:w="70"/>
              <w:left w:type="dxa" w:w="110"/>
              <w:bottom w:type="dxa" w:w="70"/>
              <w:right w:type="dxa" w:w="110"/>
            </w:tcMar>
            <w:vAlign w:val="top"/>
          </w:tcPr>
          <w:p>
            <w:r>
              <w:rPr>
                <w:b w:val="false"/>
                <w:bCs w:val="false"/>
                <w:color w:val="1A1A1A"/>
                <w:sz w:val="14"/>
                <w:szCs w:val="14"/>
              </w:rPr>
              <w:t xml:space="preserve">Technical</w:t>
            </w:r>
          </w:p>
        </w:tc>
        <w:tc>
          <w:tcPr>
            <w:tcW w:type="dxa" w:w="5242"/>
            <w:tcMar>
              <w:top w:type="dxa" w:w="70"/>
              <w:left w:type="dxa" w:w="110"/>
              <w:bottom w:type="dxa" w:w="70"/>
              <w:right w:type="dxa" w:w="110"/>
            </w:tcMar>
            <w:vAlign w:val="top"/>
          </w:tcPr>
          <w:p>
            <w:r>
              <w:rPr>
                <w:b w:val="false"/>
                <w:bCs w:val="false"/>
                <w:color w:val="1A1A1A"/>
                <w:sz w:val="14"/>
                <w:szCs w:val="14"/>
              </w:rPr>
              <w:t xml:space="preserve">Extensible, additive migration framework (NFR-DB-02); Architecture Review Board reviews every downstream Work Package's proposed migrations for consistency with the WP-01 baseline before merge.</w:t>
            </w:r>
          </w:p>
        </w:tc>
      </w:tr>
      <w:tr>
        <w:tc>
          <w:tcPr>
            <w:tcW w:type="dxa" w:w="3427"/>
            <w:tcMar>
              <w:top w:type="dxa" w:w="70"/>
              <w:left w:type="dxa" w:w="110"/>
              <w:bottom w:type="dxa" w:w="70"/>
              <w:right w:type="dxa" w:w="110"/>
            </w:tcMar>
            <w:vAlign w:val="top"/>
          </w:tcPr>
          <w:p>
            <w:r>
              <w:rPr>
                <w:b/>
                <w:bCs/>
                <w:color w:val="1A1A1A"/>
                <w:sz w:val="14"/>
                <w:szCs w:val="14"/>
              </w:rPr>
              <w:t xml:space="preserve">Encryption key mismanagement leading to data exposure or unrecoverable data.</w:t>
            </w:r>
          </w:p>
        </w:tc>
        <w:tc>
          <w:tcPr>
            <w:tcW w:type="dxa" w:w="1411"/>
            <w:tcMar>
              <w:top w:type="dxa" w:w="70"/>
              <w:left w:type="dxa" w:w="110"/>
              <w:bottom w:type="dxa" w:w="70"/>
              <w:right w:type="dxa" w:w="110"/>
            </w:tcMar>
            <w:vAlign w:val="top"/>
          </w:tcPr>
          <w:p>
            <w:r>
              <w:rPr>
                <w:b w:val="false"/>
                <w:bCs w:val="false"/>
                <w:color w:val="1A1A1A"/>
                <w:sz w:val="14"/>
                <w:szCs w:val="14"/>
              </w:rPr>
              <w:t xml:space="preserve">Security</w:t>
            </w:r>
          </w:p>
        </w:tc>
        <w:tc>
          <w:tcPr>
            <w:tcW w:type="dxa" w:w="5242"/>
            <w:tcMar>
              <w:top w:type="dxa" w:w="70"/>
              <w:left w:type="dxa" w:w="110"/>
              <w:bottom w:type="dxa" w:w="70"/>
              <w:right w:type="dxa" w:w="110"/>
            </w:tcMar>
            <w:vAlign w:val="top"/>
          </w:tcPr>
          <w:p>
            <w:r>
              <w:rPr>
                <w:b w:val="false"/>
                <w:bCs w:val="false"/>
                <w:color w:val="1A1A1A"/>
                <w:sz w:val="14"/>
                <w:szCs w:val="14"/>
              </w:rPr>
              <w:t xml:space="preserve">Key management delegated to the managed cloud provider's KMS per Security Architecture, with documented, tested key-rotation procedure.</w:t>
            </w:r>
          </w:p>
        </w:tc>
      </w:tr>
      <w:tr>
        <w:tc>
          <w:tcPr>
            <w:tcW w:type="dxa" w:w="3427"/>
            <w:tcMar>
              <w:top w:type="dxa" w:w="70"/>
              <w:left w:type="dxa" w:w="110"/>
              <w:bottom w:type="dxa" w:w="70"/>
              <w:right w:type="dxa" w:w="110"/>
            </w:tcMar>
            <w:vAlign w:val="top"/>
          </w:tcPr>
          <w:p>
            <w:r>
              <w:rPr>
                <w:b/>
                <w:bCs/>
                <w:color w:val="1A1A1A"/>
                <w:sz w:val="14"/>
                <w:szCs w:val="14"/>
              </w:rPr>
              <w:t xml:space="preserve">Backup/restore procedure untested until an actual incident.</w:t>
            </w:r>
          </w:p>
        </w:tc>
        <w:tc>
          <w:tcPr>
            <w:tcW w:type="dxa" w:w="1411"/>
            <w:tcMar>
              <w:top w:type="dxa" w:w="70"/>
              <w:left w:type="dxa" w:w="110"/>
              <w:bottom w:type="dxa" w:w="70"/>
              <w:right w:type="dxa" w:w="110"/>
            </w:tcMar>
            <w:vAlign w:val="top"/>
          </w:tcPr>
          <w:p>
            <w:r>
              <w:rPr>
                <w:b w:val="false"/>
                <w:bCs w:val="false"/>
                <w:color w:val="1A1A1A"/>
                <w:sz w:val="14"/>
                <w:szCs w:val="14"/>
              </w:rPr>
              <w:t xml:space="preserve">Delivery</w:t>
            </w:r>
          </w:p>
        </w:tc>
        <w:tc>
          <w:tcPr>
            <w:tcW w:type="dxa" w:w="5242"/>
            <w:tcMar>
              <w:top w:type="dxa" w:w="70"/>
              <w:left w:type="dxa" w:w="110"/>
              <w:bottom w:type="dxa" w:w="70"/>
              <w:right w:type="dxa" w:w="110"/>
            </w:tcMar>
            <w:vAlign w:val="top"/>
          </w:tcPr>
          <w:p>
            <w:r>
              <w:rPr>
                <w:b w:val="false"/>
                <w:bCs w:val="false"/>
                <w:color w:val="1A1A1A"/>
                <w:sz w:val="14"/>
                <w:szCs w:val="14"/>
              </w:rPr>
              <w:t xml:space="preserve">Restore is tested and evidenced as part of Definition of Done (Section 18), not deferred to go-live.</w:t>
            </w:r>
          </w:p>
        </w:tc>
      </w:tr>
      <w:tr>
        <w:tc>
          <w:tcPr>
            <w:tcW w:type="dxa" w:w="3427"/>
            <w:tcMar>
              <w:top w:type="dxa" w:w="70"/>
              <w:left w:type="dxa" w:w="110"/>
              <w:bottom w:type="dxa" w:w="70"/>
              <w:right w:type="dxa" w:w="110"/>
            </w:tcMar>
            <w:vAlign w:val="top"/>
          </w:tcPr>
          <w:p>
            <w:r>
              <w:rPr>
                <w:b/>
                <w:bCs/>
                <w:color w:val="1A1A1A"/>
                <w:sz w:val="14"/>
                <w:szCs w:val="14"/>
              </w:rPr>
              <w:t xml:space="preserve">Twenty-four downstream Work Packages all depend on this Work Package; any delay here delays the entire programme.</w:t>
            </w:r>
          </w:p>
        </w:tc>
        <w:tc>
          <w:tcPr>
            <w:tcW w:type="dxa" w:w="1411"/>
            <w:tcMar>
              <w:top w:type="dxa" w:w="70"/>
              <w:left w:type="dxa" w:w="110"/>
              <w:bottom w:type="dxa" w:w="70"/>
              <w:right w:type="dxa" w:w="110"/>
            </w:tcMar>
            <w:vAlign w:val="top"/>
          </w:tcPr>
          <w:p>
            <w:r>
              <w:rPr>
                <w:b w:val="false"/>
                <w:bCs w:val="false"/>
                <w:color w:val="1A1A1A"/>
                <w:sz w:val="14"/>
                <w:szCs w:val="14"/>
              </w:rPr>
              <w:t xml:space="preserve">Delivery</w:t>
            </w:r>
          </w:p>
        </w:tc>
        <w:tc>
          <w:tcPr>
            <w:tcW w:type="dxa" w:w="5242"/>
            <w:tcMar>
              <w:top w:type="dxa" w:w="70"/>
              <w:left w:type="dxa" w:w="110"/>
              <w:bottom w:type="dxa" w:w="70"/>
              <w:right w:type="dxa" w:w="110"/>
            </w:tcMar>
            <w:vAlign w:val="top"/>
          </w:tcPr>
          <w:p>
            <w:r>
              <w:rPr>
                <w:b w:val="false"/>
                <w:bCs w:val="false"/>
                <w:color w:val="1A1A1A"/>
                <w:sz w:val="14"/>
                <w:szCs w:val="14"/>
              </w:rPr>
              <w:t xml:space="preserve">WP-01 is scheduled first, alone, in Sprint 1, with no competing priority for the Data Architect during that sprint.</w:t>
            </w:r>
          </w:p>
        </w:tc>
      </w:tr>
    </w:tbl>
    <w:p>
      <w:pPr>
        <w:pStyle w:val="Heading1"/>
        <w:pBdr>
          <w:bottom w:val="single" w:color="D3D7DC" w:sz="4" w:space="4"/>
        </w:pBdr>
        <w:spacing w:after="140" w:before="360"/>
      </w:pPr>
      <w:r>
        <w:rPr>
          <w:b/>
          <w:bCs/>
          <w:color w:val="B23A48"/>
          <w:sz w:val="26"/>
          <w:szCs w:val="26"/>
        </w:rPr>
        <w:t xml:space="preserve">20  </w:t>
      </w:r>
      <w:r>
        <w:rPr>
          <w:b/>
          <w:bCs/>
          <w:color w:val="2E3440"/>
          <w:sz w:val="26"/>
          <w:szCs w:val="26"/>
        </w:rPr>
        <w:t xml:space="preserve">Engineering Checklist</w:t>
      </w:r>
    </w:p>
    <w:p>
      <w:pPr>
        <w:pStyle w:val="ListParagraph"/>
        <w:numPr>
          <w:ilvl w:val="0"/>
          <w:numId w:val="1"/>
        </w:numPr>
        <w:spacing w:after="90" w:line="264"/>
      </w:pPr>
      <w:r>
        <w:t xml:space="preserve">Code complete: migration and seed-data scripts merged to trunk.</w:t>
      </w:r>
    </w:p>
    <w:p>
      <w:pPr>
        <w:pStyle w:val="ListParagraph"/>
        <w:numPr>
          <w:ilvl w:val="0"/>
          <w:numId w:val="1"/>
        </w:numPr>
        <w:spacing w:after="90" w:line="264"/>
      </w:pPr>
      <w:r>
        <w:t xml:space="preserve">Tests passed: unit, integration, security, and performance suites green.</w:t>
      </w:r>
    </w:p>
    <w:p>
      <w:pPr>
        <w:pStyle w:val="ListParagraph"/>
        <w:numPr>
          <w:ilvl w:val="0"/>
          <w:numId w:val="1"/>
        </w:numPr>
        <w:spacing w:after="90" w:line="264"/>
      </w:pPr>
      <w:r>
        <w:t xml:space="preserve">Documentation updated: architecture diagram, ADR, traceability matrix, administrator guide section.</w:t>
      </w:r>
    </w:p>
    <w:p>
      <w:pPr>
        <w:pStyle w:val="ListParagraph"/>
        <w:numPr>
          <w:ilvl w:val="0"/>
          <w:numId w:val="1"/>
        </w:numPr>
        <w:spacing w:after="90" w:line="264"/>
      </w:pPr>
      <w:r>
        <w:t xml:space="preserve">ADR updated and approved.</w:t>
      </w:r>
    </w:p>
    <w:p>
      <w:pPr>
        <w:pStyle w:val="ListParagraph"/>
        <w:numPr>
          <w:ilvl w:val="0"/>
          <w:numId w:val="1"/>
        </w:numPr>
        <w:spacing w:after="90" w:line="264"/>
      </w:pPr>
      <w:r>
        <w:t xml:space="preserve">Security validated: encryption and access-control sign-off obtained.</w:t>
      </w:r>
    </w:p>
    <w:p>
      <w:pPr>
        <w:pStyle w:val="ListParagraph"/>
        <w:numPr>
          <w:ilvl w:val="0"/>
          <w:numId w:val="1"/>
        </w:numPr>
        <w:spacing w:after="90" w:line="264"/>
      </w:pPr>
      <w:r>
        <w:t xml:space="preserve">Performance validated: load test results within SRS Part 33 thresholds.</w:t>
      </w:r>
    </w:p>
    <w:p>
      <w:pPr>
        <w:pStyle w:val="ListParagraph"/>
        <w:numPr>
          <w:ilvl w:val="0"/>
          <w:numId w:val="1"/>
        </w:numPr>
        <w:spacing w:after="90" w:line="264"/>
      </w:pPr>
      <w:r>
        <w:t xml:space="preserve">Accessibility validated: not applicable (no UI surface).</w:t>
      </w:r>
    </w:p>
    <w:p>
      <w:pPr>
        <w:pStyle w:val="ListParagraph"/>
        <w:numPr>
          <w:ilvl w:val="0"/>
          <w:numId w:val="1"/>
        </w:numPr>
        <w:spacing w:after="90" w:line="264"/>
      </w:pPr>
      <w:r>
        <w:t xml:space="preserve">Peer review approved: second engineer sign-off on all migrations.</w:t>
      </w:r>
    </w:p>
    <w:p>
      <w:pPr>
        <w:pStyle w:val="ListParagraph"/>
        <w:numPr>
          <w:ilvl w:val="0"/>
          <w:numId w:val="1"/>
        </w:numPr>
        <w:spacing w:after="90" w:line="264"/>
      </w:pPr>
      <w:r>
        <w:t xml:space="preserve">Traceability updated: all Section 4 requirement IDs marked implemented.</w:t>
      </w:r>
    </w:p>
    <w:p>
      <w:pPr>
        <w:pStyle w:val="Heading1"/>
        <w:pBdr>
          <w:bottom w:val="single" w:color="D3D7DC" w:sz="4" w:space="4"/>
        </w:pBdr>
        <w:spacing w:after="140" w:before="360"/>
      </w:pPr>
      <w:r>
        <w:rPr>
          <w:b/>
          <w:bCs/>
          <w:color w:val="B23A48"/>
          <w:sz w:val="26"/>
          <w:szCs w:val="26"/>
        </w:rPr>
        <w:t xml:space="preserve">21  </w:t>
      </w:r>
      <w:r>
        <w:rPr>
          <w:b/>
          <w:bCs/>
          <w:color w:val="2E3440"/>
          <w:sz w:val="26"/>
          <w:szCs w:val="26"/>
        </w:rPr>
        <w:t xml:space="preserve">Antigravity Implementation Package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2E8E9" w:sz="2"/>
              <w:left w:val="single" w:color="B23A48" w:sz="24"/>
              <w:bottom w:val="single" w:color="F2E8E9" w:sz="2"/>
              <w:right w:val="single" w:color="F2E8E9" w:sz="2"/>
            </w:tcBorders>
            <w:shd w:fill="F2E8E9" w:val="clear"/>
            <w:tcMar>
              <w:top w:type="dxa" w:w="120"/>
              <w:left w:type="dxa" w:w="180"/>
              <w:bottom w:type="dxa" w:w="120"/>
              <w:right w:type="dxa" w:w="180"/>
            </w:tcMar>
          </w:tcPr>
          <w:p>
            <w:pPr>
              <w:spacing w:after="60"/>
            </w:pPr>
            <w:r>
              <w:rPr>
                <w:b/>
                <w:bCs/>
                <w:color w:val="B23A48"/>
                <w:sz w:val="17"/>
                <w:szCs w:val="17"/>
              </w:rPr>
              <w:t xml:space="preserve">ANTIGRAVITY</w:t>
            </w:r>
          </w:p>
          <w:p>
            <w:pPr>
              <w:spacing w:after="0"/>
            </w:pPr>
            <w:r>
              <w:rPr>
                <w:sz w:val="18"/>
                <w:szCs w:val="18"/>
              </w:rPr>
              <w:t xml:space="preserve">This section is the complete, self-contained handoff package for Antigravity to execute WP-01 without consulting any document outside this list.</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2E3440" w:val="clear"/>
            <w:tcMar>
              <w:top w:type="dxa" w:w="70"/>
              <w:left w:type="dxa" w:w="110"/>
              <w:bottom w:type="dxa" w:w="70"/>
              <w:right w:type="dxa" w:w="110"/>
            </w:tcMar>
            <w:vAlign w:val="top"/>
          </w:tcPr>
          <w:p>
            <w:r>
              <w:rPr>
                <w:b/>
                <w:bCs/>
                <w:color w:val="FFFFFF"/>
                <w:sz w:val="17"/>
                <w:szCs w:val="17"/>
              </w:rPr>
              <w:t xml:space="preserve">Element</w:t>
            </w:r>
          </w:p>
        </w:tc>
        <w:tc>
          <w:tcPr>
            <w:tcW w:type="dxa" w:w="7459"/>
            <w:shd w:fill="2E3440" w:val="clear"/>
            <w:tcMar>
              <w:top w:type="dxa" w:w="70"/>
              <w:left w:type="dxa" w:w="110"/>
              <w:bottom w:type="dxa" w:w="70"/>
              <w:right w:type="dxa" w:w="110"/>
            </w:tcMar>
            <w:vAlign w:val="top"/>
          </w:tcPr>
          <w:p>
            <w:r>
              <w:rPr>
                <w:b/>
                <w:bCs/>
                <w:color w:val="FFFFFF"/>
                <w:sz w:val="17"/>
                <w:szCs w:val="17"/>
              </w:rPr>
              <w:t xml:space="preserve">Detail</w:t>
            </w:r>
          </w:p>
        </w:tc>
      </w:tr>
      <w:tr>
        <w:tc>
          <w:tcPr>
            <w:tcW w:type="dxa" w:w="2621"/>
            <w:tcMar>
              <w:top w:type="dxa" w:w="70"/>
              <w:left w:type="dxa" w:w="110"/>
              <w:bottom w:type="dxa" w:w="70"/>
              <w:right w:type="dxa" w:w="110"/>
            </w:tcMar>
            <w:vAlign w:val="top"/>
          </w:tcPr>
          <w:p>
            <w:r>
              <w:rPr>
                <w:b/>
                <w:bCs/>
                <w:color w:val="1A1A1A"/>
                <w:sz w:val="14"/>
                <w:szCs w:val="14"/>
              </w:rPr>
              <w:t xml:space="preserve">Required Context Documents</w:t>
            </w:r>
          </w:p>
        </w:tc>
        <w:tc>
          <w:tcPr>
            <w:tcW w:type="dxa" w:w="7459"/>
            <w:tcMar>
              <w:top w:type="dxa" w:w="70"/>
              <w:left w:type="dxa" w:w="110"/>
              <w:bottom w:type="dxa" w:w="70"/>
              <w:right w:type="dxa" w:w="110"/>
            </w:tcMar>
            <w:vAlign w:val="top"/>
          </w:tcPr>
          <w:p>
            <w:r>
              <w:rPr>
                <w:b w:val="false"/>
                <w:bCs w:val="false"/>
                <w:color w:val="1A1A1A"/>
                <w:sz w:val="14"/>
                <w:szCs w:val="14"/>
              </w:rPr>
              <w:t xml:space="preserve">This document (EWPL WP-01); DDS Parts 1-9; Security Architecture (data classification scheme); Engineering Handbook Ch. 9 (Backend Standards) and Ch. 11 (Database Standards).</w:t>
            </w:r>
          </w:p>
        </w:tc>
      </w:tr>
      <w:tr>
        <w:tc>
          <w:tcPr>
            <w:tcW w:type="dxa" w:w="2621"/>
            <w:tcMar>
              <w:top w:type="dxa" w:w="70"/>
              <w:left w:type="dxa" w:w="110"/>
              <w:bottom w:type="dxa" w:w="70"/>
              <w:right w:type="dxa" w:w="110"/>
            </w:tcMar>
            <w:vAlign w:val="top"/>
          </w:tcPr>
          <w:p>
            <w:r>
              <w:rPr>
                <w:b/>
                <w:bCs/>
                <w:color w:val="1A1A1A"/>
                <w:sz w:val="14"/>
                <w:szCs w:val="14"/>
              </w:rPr>
              <w:t xml:space="preserve">Mandatory Architecture References</w:t>
            </w:r>
          </w:p>
        </w:tc>
        <w:tc>
          <w:tcPr>
            <w:tcW w:type="dxa" w:w="7459"/>
            <w:tcMar>
              <w:top w:type="dxa" w:w="70"/>
              <w:left w:type="dxa" w:w="110"/>
              <w:bottom w:type="dxa" w:w="70"/>
              <w:right w:type="dxa" w:w="110"/>
            </w:tcMar>
            <w:vAlign w:val="top"/>
          </w:tcPr>
          <w:p>
            <w:r>
              <w:rPr>
                <w:b w:val="false"/>
                <w:bCs w:val="false"/>
                <w:color w:val="1A1A1A"/>
                <w:sz w:val="14"/>
                <w:szCs w:val="14"/>
              </w:rPr>
              <w:t xml:space="preserve">Enterprise Solution Architecture — Data Architecture section; MEKB Part 11 (Dependency Matrix, confirming WP-01 has no upstream dependency).</w:t>
            </w:r>
          </w:p>
        </w:tc>
      </w:tr>
      <w:tr>
        <w:tc>
          <w:tcPr>
            <w:tcW w:type="dxa" w:w="2621"/>
            <w:tcMar>
              <w:top w:type="dxa" w:w="70"/>
              <w:left w:type="dxa" w:w="110"/>
              <w:bottom w:type="dxa" w:w="70"/>
              <w:right w:type="dxa" w:w="110"/>
            </w:tcMar>
            <w:vAlign w:val="top"/>
          </w:tcPr>
          <w:p>
            <w:r>
              <w:rPr>
                <w:b/>
                <w:bCs/>
                <w:color w:val="1A1A1A"/>
                <w:sz w:val="14"/>
                <w:szCs w:val="14"/>
              </w:rPr>
              <w:t xml:space="preserve">Required APIs</w:t>
            </w:r>
          </w:p>
        </w:tc>
        <w:tc>
          <w:tcPr>
            <w:tcW w:type="dxa" w:w="7459"/>
            <w:tcMar>
              <w:top w:type="dxa" w:w="70"/>
              <w:left w:type="dxa" w:w="110"/>
              <w:bottom w:type="dxa" w:w="70"/>
              <w:right w:type="dxa" w:w="110"/>
            </w:tcMar>
            <w:vAlign w:val="top"/>
          </w:tcPr>
          <w:p>
            <w:r>
              <w:rPr>
                <w:b w:val="false"/>
                <w:bCs w:val="false"/>
                <w:color w:val="1A1A1A"/>
                <w:sz w:val="14"/>
                <w:szCs w:val="14"/>
              </w:rPr>
              <w:t xml:space="preserve">None — WP-01 exposes no API; consumed exclusively via WP-02's data access layer once WP-02 begins.</w:t>
            </w:r>
          </w:p>
        </w:tc>
      </w:tr>
      <w:tr>
        <w:tc>
          <w:tcPr>
            <w:tcW w:type="dxa" w:w="2621"/>
            <w:tcMar>
              <w:top w:type="dxa" w:w="70"/>
              <w:left w:type="dxa" w:w="110"/>
              <w:bottom w:type="dxa" w:w="70"/>
              <w:right w:type="dxa" w:w="110"/>
            </w:tcMar>
            <w:vAlign w:val="top"/>
          </w:tcPr>
          <w:p>
            <w:r>
              <w:rPr>
                <w:b/>
                <w:bCs/>
                <w:color w:val="1A1A1A"/>
                <w:sz w:val="14"/>
                <w:szCs w:val="14"/>
              </w:rPr>
              <w:t xml:space="preserve">Required Database Objects</w:t>
            </w:r>
          </w:p>
        </w:tc>
        <w:tc>
          <w:tcPr>
            <w:tcW w:type="dxa" w:w="7459"/>
            <w:tcMar>
              <w:top w:type="dxa" w:w="70"/>
              <w:left w:type="dxa" w:w="110"/>
              <w:bottom w:type="dxa" w:w="70"/>
              <w:right w:type="dxa" w:w="110"/>
            </w:tcMar>
            <w:vAlign w:val="top"/>
          </w:tcPr>
          <w:p>
            <w:r>
              <w:rPr>
                <w:b w:val="false"/>
                <w:bCs w:val="false"/>
                <w:color w:val="1A1A1A"/>
                <w:sz w:val="14"/>
                <w:szCs w:val="14"/>
              </w:rPr>
              <w:t xml:space="preserve">All tables listed in Section 9, plus the full DDS Part 3 Entity Catalogue for tables not detailed here (module-specific tables deferred to their own Work Packages).</w:t>
            </w:r>
          </w:p>
        </w:tc>
      </w:tr>
      <w:tr>
        <w:tc>
          <w:tcPr>
            <w:tcW w:type="dxa" w:w="2621"/>
            <w:tcMar>
              <w:top w:type="dxa" w:w="70"/>
              <w:left w:type="dxa" w:w="110"/>
              <w:bottom w:type="dxa" w:w="70"/>
              <w:right w:type="dxa" w:w="110"/>
            </w:tcMar>
            <w:vAlign w:val="top"/>
          </w:tcPr>
          <w:p>
            <w:r>
              <w:rPr>
                <w:b/>
                <w:bCs/>
                <w:color w:val="1A1A1A"/>
                <w:sz w:val="14"/>
                <w:szCs w:val="14"/>
              </w:rPr>
              <w:t xml:space="preserve">Required UI Components</w:t>
            </w:r>
          </w:p>
        </w:tc>
        <w:tc>
          <w:tcPr>
            <w:tcW w:type="dxa" w:w="7459"/>
            <w:tcMar>
              <w:top w:type="dxa" w:w="70"/>
              <w:left w:type="dxa" w:w="110"/>
              <w:bottom w:type="dxa" w:w="70"/>
              <w:right w:type="dxa" w:w="110"/>
            </w:tcMar>
            <w:vAlign w:val="top"/>
          </w:tcPr>
          <w:p>
            <w:r>
              <w:rPr>
                <w:b w:val="false"/>
                <w:bCs w:val="false"/>
                <w:color w:val="1A1A1A"/>
                <w:sz w:val="14"/>
                <w:szCs w:val="14"/>
              </w:rPr>
              <w:t xml:space="preserve">None.</w:t>
            </w:r>
          </w:p>
        </w:tc>
      </w:tr>
      <w:tr>
        <w:tc>
          <w:tcPr>
            <w:tcW w:type="dxa" w:w="2621"/>
            <w:tcMar>
              <w:top w:type="dxa" w:w="70"/>
              <w:left w:type="dxa" w:w="110"/>
              <w:bottom w:type="dxa" w:w="70"/>
              <w:right w:type="dxa" w:w="110"/>
            </w:tcMar>
            <w:vAlign w:val="top"/>
          </w:tcPr>
          <w:p>
            <w:r>
              <w:rPr>
                <w:b/>
                <w:bCs/>
                <w:color w:val="1A1A1A"/>
                <w:sz w:val="14"/>
                <w:szCs w:val="14"/>
              </w:rPr>
              <w:t xml:space="preserve">Security Controls</w:t>
            </w:r>
          </w:p>
        </w:tc>
        <w:tc>
          <w:tcPr>
            <w:tcW w:type="dxa" w:w="7459"/>
            <w:tcMar>
              <w:top w:type="dxa" w:w="70"/>
              <w:left w:type="dxa" w:w="110"/>
              <w:bottom w:type="dxa" w:w="70"/>
              <w:right w:type="dxa" w:w="110"/>
            </w:tcMar>
            <w:vAlign w:val="top"/>
          </w:tcPr>
          <w:p>
            <w:r>
              <w:rPr>
                <w:b w:val="false"/>
                <w:bCs w:val="false"/>
                <w:color w:val="1A1A1A"/>
                <w:sz w:val="14"/>
                <w:szCs w:val="14"/>
              </w:rPr>
              <w:t xml:space="preserve">Encryption at rest (TDE + column-level for Confidential fields), service-account least-privilege DML grants, audit-logging interceptor — all per Section 10.</w:t>
            </w:r>
          </w:p>
        </w:tc>
      </w:tr>
      <w:tr>
        <w:tc>
          <w:tcPr>
            <w:tcW w:type="dxa" w:w="2621"/>
            <w:tcMar>
              <w:top w:type="dxa" w:w="70"/>
              <w:left w:type="dxa" w:w="110"/>
              <w:bottom w:type="dxa" w:w="70"/>
              <w:right w:type="dxa" w:w="110"/>
            </w:tcMar>
            <w:vAlign w:val="top"/>
          </w:tcPr>
          <w:p>
            <w:r>
              <w:rPr>
                <w:b/>
                <w:bCs/>
                <w:color w:val="1A1A1A"/>
                <w:sz w:val="14"/>
                <w:szCs w:val="14"/>
              </w:rPr>
              <w:t xml:space="preserve">Test Cases</w:t>
            </w:r>
          </w:p>
        </w:tc>
        <w:tc>
          <w:tcPr>
            <w:tcW w:type="dxa" w:w="7459"/>
            <w:tcMar>
              <w:top w:type="dxa" w:w="70"/>
              <w:left w:type="dxa" w:w="110"/>
              <w:bottom w:type="dxa" w:w="70"/>
              <w:right w:type="dxa" w:w="110"/>
            </w:tcMar>
            <w:vAlign w:val="top"/>
          </w:tcPr>
          <w:p>
            <w:r>
              <w:rPr>
                <w:b w:val="false"/>
                <w:bCs w:val="false"/>
                <w:color w:val="1A1A1A"/>
                <w:sz w:val="14"/>
                <w:szCs w:val="14"/>
              </w:rPr>
              <w:t xml:space="preserve">UT-DB-01, IT-DB-01, ST-DB-01, PT-DB-01 (MEKB Part 7 / TSAS Part 5 test case catalogue).</w:t>
            </w:r>
          </w:p>
        </w:tc>
      </w:tr>
      <w:tr>
        <w:tc>
          <w:tcPr>
            <w:tcW w:type="dxa" w:w="2621"/>
            <w:tcMar>
              <w:top w:type="dxa" w:w="70"/>
              <w:left w:type="dxa" w:w="110"/>
              <w:bottom w:type="dxa" w:w="70"/>
              <w:right w:type="dxa" w:w="110"/>
            </w:tcMar>
            <w:vAlign w:val="top"/>
          </w:tcPr>
          <w:p>
            <w:r>
              <w:rPr>
                <w:b/>
                <w:bCs/>
                <w:color w:val="1A1A1A"/>
                <w:sz w:val="14"/>
                <w:szCs w:val="14"/>
              </w:rPr>
              <w:t xml:space="preserve">Expected Engineering Outputs</w:t>
            </w:r>
          </w:p>
        </w:tc>
        <w:tc>
          <w:tcPr>
            <w:tcW w:type="dxa" w:w="7459"/>
            <w:tcMar>
              <w:top w:type="dxa" w:w="70"/>
              <w:left w:type="dxa" w:w="110"/>
              <w:bottom w:type="dxa" w:w="70"/>
              <w:right w:type="dxa" w:w="110"/>
            </w:tcMar>
            <w:vAlign w:val="top"/>
          </w:tcPr>
          <w:p>
            <w:r>
              <w:rPr>
                <w:b w:val="false"/>
                <w:bCs w:val="false"/>
                <w:color w:val="1A1A1A"/>
                <w:sz w:val="14"/>
                <w:szCs w:val="14"/>
              </w:rPr>
              <w:t xml:space="preserve">Migration scripts, seed-data scripts, audit-logging interceptor, backup-verification job, unit/integration/security/performance test suites, ADR.</w:t>
            </w:r>
          </w:p>
        </w:tc>
      </w:tr>
      <w:tr>
        <w:tc>
          <w:tcPr>
            <w:tcW w:type="dxa" w:w="2621"/>
            <w:tcMar>
              <w:top w:type="dxa" w:w="70"/>
              <w:left w:type="dxa" w:w="110"/>
              <w:bottom w:type="dxa" w:w="70"/>
              <w:right w:type="dxa" w:w="110"/>
            </w:tcMar>
            <w:vAlign w:val="top"/>
          </w:tcPr>
          <w:p>
            <w:r>
              <w:rPr>
                <w:b/>
                <w:bCs/>
                <w:color w:val="1A1A1A"/>
                <w:sz w:val="14"/>
                <w:szCs w:val="14"/>
              </w:rPr>
              <w:t xml:space="preserve">Documentation Updates</w:t>
            </w:r>
          </w:p>
        </w:tc>
        <w:tc>
          <w:tcPr>
            <w:tcW w:type="dxa" w:w="7459"/>
            <w:tcMar>
              <w:top w:type="dxa" w:w="70"/>
              <w:left w:type="dxa" w:w="110"/>
              <w:bottom w:type="dxa" w:w="70"/>
              <w:right w:type="dxa" w:w="110"/>
            </w:tcMar>
            <w:vAlign w:val="top"/>
          </w:tcPr>
          <w:p>
            <w:r>
              <w:rPr>
                <w:b w:val="false"/>
                <w:bCs w:val="false"/>
                <w:color w:val="1A1A1A"/>
                <w:sz w:val="14"/>
                <w:szCs w:val="14"/>
              </w:rPr>
              <w:t xml:space="preserve">Data Architecture diagram, ADR log, Requirements Traceability Matrix (Section 4 IDs), Administrator Guide backup/restore section.</w:t>
            </w:r>
          </w:p>
        </w:tc>
      </w:tr>
      <w:tr>
        <w:tc>
          <w:tcPr>
            <w:tcW w:type="dxa" w:w="2621"/>
            <w:tcMar>
              <w:top w:type="dxa" w:w="70"/>
              <w:left w:type="dxa" w:w="110"/>
              <w:bottom w:type="dxa" w:w="70"/>
              <w:right w:type="dxa" w:w="110"/>
            </w:tcMar>
            <w:vAlign w:val="top"/>
          </w:tcPr>
          <w:p>
            <w:r>
              <w:rPr>
                <w:b/>
                <w:bCs/>
                <w:color w:val="1A1A1A"/>
                <w:sz w:val="14"/>
                <w:szCs w:val="14"/>
              </w:rPr>
              <w:t xml:space="preserve">Completion Checklist</w:t>
            </w:r>
          </w:p>
        </w:tc>
        <w:tc>
          <w:tcPr>
            <w:tcW w:type="dxa" w:w="7459"/>
            <w:tcMar>
              <w:top w:type="dxa" w:w="70"/>
              <w:left w:type="dxa" w:w="110"/>
              <w:bottom w:type="dxa" w:w="70"/>
              <w:right w:type="dxa" w:w="110"/>
            </w:tcMar>
            <w:vAlign w:val="top"/>
          </w:tcPr>
          <w:p>
            <w:r>
              <w:rPr>
                <w:b w:val="false"/>
                <w:bCs w:val="false"/>
                <w:color w:val="1A1A1A"/>
                <w:sz w:val="14"/>
                <w:szCs w:val="14"/>
              </w:rPr>
              <w:t xml:space="preserve">Identical to Section 20 (Engineering Checklist) — all nine items must be checked before this Work Package is marked CLOSED.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2E3440"/>
      <w:sz w:val="26"/>
      <w:szCs w:val="26"/>
    </w:rPr>
  </w:style>
  <w:style w:type="paragraph" w:styleId="Heading2">
    <w:name w:val="Heading 2"/>
    <w:basedOn w:val="Normal"/>
    <w:next w:val="Normal"/>
    <w:qFormat/>
    <w:pPr>
      <w:spacing w:after="110" w:before="240"/>
    </w:pPr>
    <w:rPr>
      <w:rFonts w:ascii="Calibri" w:cs="Calibri" w:eastAsia="Calibri" w:hAnsi="Calibri"/>
      <w:b/>
      <w:bCs/>
      <w:color w:val="2E34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2026-07-20T16:35:49.395Z</dcterms:created>
  <dcterms:modified xsi:type="dcterms:W3CDTF">2026-07-20T16:35:49.395Z</dcterms:modified>
</cp:coreProperties>
</file>

<file path=docProps/custom.xml><?xml version="1.0" encoding="utf-8"?>
<Properties xmlns="http://schemas.openxmlformats.org/officeDocument/2006/custom-properties" xmlns:vt="http://schemas.openxmlformats.org/officeDocument/2006/docPropsVTypes"/>
</file>