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WP-02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API &amp; Integration Platform Foundation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1, Sprint 2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WP-02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API &amp; Integration Platform Foundation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WP-02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Platform Integration Backbone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API &amp; Integration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1 / Sprint 2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21 (Complexity: High)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Critical / Critical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WP-01 (Platform Database Foundation)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Solution Architect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Ready — Definition of Ready met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Establish the single API gateway and integration contract pattern every one of the platform's twenty functional modules exposes itself through, and every external system integrates via.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Guarantee that every module the business will later use — internal or public-facing — presents a consistent, secure, versioned interface, so integration work is never duplicated or reinvented module by module.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Removes integration risk from every later Work Package: once WP-02 is done, every subsequent team builds against one proven contract pattern instead of inventing its own, cutting integration defects and onboarding time for both engineering teams and Antigravity sessions.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Platform Integration Backbone — the single gateway all client applications (web, mobile, public portal) and all external systems pass through.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Solution Architect (accountable); all module Technical Leads (consumers); Security Architect (auth/authz); External Integration Partners (donor systems, national registries).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Parts 28-29 (API and Integration Requirements) require a consistent, documented, versioned API surface; donor-side systems require a stable integration contract that will not break between releases.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Prevents twenty modules independently inventing twenty different authentication, versioning, and error-handling conventions; gives external partners one integration point, not twenty.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API gateway: routing, request/response logging, rate limiting, and versioning strategy.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Authentication middleware (token issuance and validation) — consumed by WP-05 for authorization enforcement.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Standard error-handling envelope and status-code convention used by every module's endpoints.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OpenAPI 3.1 contract publishing pipeline (per AIDS Part 17).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API key management for machine-to-machine and external partner integrations.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Module-specific endpoints — each module's own REST resources are delivered by that module's own Work Package.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Public-facing API gateway hardening for anonymous traffic (delivered by WP-22 Public Portal).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Webhook delivery infrastructure for specific business events (delivered incrementally by the Work Packages that emit those events).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WP-01's schema and data access layer are available to build the API layer against.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The API gateway technology selected in the Enterprise Solution Architecture is available in the target environment (provisioned by WP-03).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endpoints must conform to the OpenAPI 3.1 Blueprint (AIDS Part 17) — no ad hoc endpoint conventions.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Breaking changes to a published API version are prohibited; new capability is additive or ships as a new version (AIDS Part 15, API Governance).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2822"/>
        <w:gridCol w:w="1411"/>
        <w:gridCol w:w="1008"/>
        <w:gridCol w:w="3629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FR-API-01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expose a versioned REST API for every functional module.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28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Gateway routes correctly to a versioned endpoint namespace; version negotiation verified in test.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FR-API-02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All API responses must follow a standard success/error envelope.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28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100% of gateway-routed responses conform to the standard envelope schema.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NFR-API-01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API authentication must use short-lived, signed tokens.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AIDS Part 5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Token issuance and validation verified against AIDS Part 5 specification.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NFR-API-02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gateway must enforce configurable rate limits per client.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AIDS Part 13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Rate limiting verified under load test; correct 429 response returned when exceeded.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NFR-INT-01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External partner integrations must authenticate via API key, independent of end-user session tokens.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29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API key issuance, rotation, and revocation verified in test.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COMP-02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API documentation must be published and kept current with every release.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AIDS Part 17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OpenAPI specification auto-generated and published on every gateway deployment.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Central API gateway with routing to module-specific service endpoints.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Token-based authentication middleware, issuing and validating signed JWT-style tokens.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Standard error envelope: { success, data, error: { code, message, details } }.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API versioning via URL namespace (/api/v1/...), with a documented deprecation policy.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Rate limiting per client/API key, configurable per endpoint class.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module engineering team, I can register a new endpoint behind the gateway without modifying gateway core code.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 external partner, I can authenticate with an API key and call an agreed integration endpoint without a user login session.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client application developer, I can rely on a consistent error shape across every module's endpoints.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 module may bypass the gateway to expose its own public endpoint directly.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Every endpoint must be documented in the OpenAPI specification before it is considered complete (Definition of Done, Section 18).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request payloads are validated against their OpenAPI schema at the gateway before reaching module logic; malformed requests are rejected with a 400 and structured error detail.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Token lifecycle: client authenticates (credentials validated against WP-01/WP-04 user store) → gateway issues short-lived access token and longer-lived refresh token → subsequent requests present the access token → gateway validates signature and expiry on every request → expired tokens are refreshed via the refresh-token endpoint or the client re-authenticates.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Invalid or expired token: gateway returns 401 with a structured error before the request reaches module logic.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Rate limit exceeded: gateway returns 429 with a Retry-After header.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Downstream module service unavailable: gateway returns 503 with a correlation ID for support triage.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Enterprise Solution Architecture (Integration Architecture section); AIDS Parts 1-17 in full.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API gateway; authentication middleware; rate limiter; OpenAPI publishing pipeline.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Token issuance service; API key management service.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api_keys, api_tokens_refresh, rate_limit_policy (extends WP-01 schema per DDS Part 3).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api.request.received, api.request.rejected, api.token.issued — emitted for monitoring and, once live, WP-18 Notifications.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Expired-token cleanup job; API key expiry-warning job.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Rate limit thresholds, token TTLs, allowed CORS origins — externalized to environment configuration (WP-03).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Per-endpoint-class rollout flag, allowing a new module's endpoints to be gated behind a flag during stabilization.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p>
      <w:pPr>
        <w:spacing w:after="150" w:line="276"/>
        <w:jc w:val="both"/>
      </w:pPr>
      <w:r>
        <w:t xml:space="preserve">No direct end-user interface. The only human-facing surface is the published OpenAPI documentation (developer-facing, not an end-user screen) and API key management, which is surfaced within WP-04's Administration Console once that Work Package is live.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411"/>
        <w:gridCol w:w="3629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/api/v1/auth/token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POST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Exchange credentials for an access/refresh token pair.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None (credentials in body)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/api/v1/auth/refresh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POST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Exchange a valid refresh token for a new access token.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Refresh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/api/v1/auth/revoke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POST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Revoke a token or API key.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/api/v1/system/api-keys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 / DELETE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Manage machine-to-machine API keys.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Admin role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/api/v1/system/health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Gateway and downstream service health check.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None (public, rate-limited)</w:t>
            </w:r>
          </w:p>
        </w:tc>
      </w:tr>
    </w:tbl>
    <w:p>
      <w:pPr>
        <w:spacing w:after="150" w:line="276"/>
        <w:jc w:val="both"/>
      </w:pPr>
      <w:r>
        <w:t xml:space="preserve">Every module's own endpoints are documented within that module's own Work Package (e.g., WP-07 documents /api/v1/programmes). This section documents only the platform-level endpoints WP-02 itself owns. Standard response envelope, error codes, versioning policy, and rate-limiting behavior are specified in full in AIDS Part 6 (Payload Specifications), Part 7 (Error Handling Framework), and Part 13 (Non-Functional Requirements), which this Work Package implements without modification.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Extends the WP-01 schema with three tables: api_keys (key hash, owner, scopes, expiry), api_tokens_refresh (token hash, user, expiry, revoked flag), and rate_limit_policy (endpoint class, threshold, window). All three inherit WP-01's organization-scoping, audit-logging, and soft-delete conventions without exception.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Signed, short-lived access tokens (15-minute default TTL); refresh tokens stored hashed, revocable.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The gateway validates token signature and expiry; it delegates the authorization decision (what the caller may do) to WP-05's RBAC engine — WP-02 authenticates, WP-05 authorizes.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Gateway passes the resolved user/role context downstream; enforcement logic itself lives in WP-05, consistent with Section 6 of that Work Package.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TLS 1.2+ enforced on all gateway traffic; no plaintext HTTP permitted, including internal service-to-service calls.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Every authentication attempt (success and failure) and every API key operation logged to WP-01's audit_log.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Rate limiting and API key scoping reviewed against SRS Part 35 for external partner data-sharing agreements.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Access and refresh tokens never logged in plaintext; only token hashes appear in logs or audit records.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WP-02 directly. WP-23 (AI Assistant) and WP-15 (Search) will register their own endpoints behind this gateway using the same authentication and versioning pattern established here — no AI-specific gateway behavior is implemented in this Work Package.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Every module Work Package (WP-04 onward) registers its endpoints behind this gateway; this is the platform's only internal integration pattern.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Donor and national registry systems integrate via API key-authenticated endpoints, scoped per partner (specific partner endpoints are defined by the consuming module's own Work Package, e.g., a national ID verification call within WP-04).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api.request.received / api.request.rejected / api.token.issued (Section 6) available to any Work Package that later needs them.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Outbound webhook delivery infrastructure is established here as a reusable capability; specific webhook payloads are defined by the emitting module's own Work Package.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by WP-02 beyond the cleanup jobs in Section 6.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Token issuance/validation logic; rate-limit counter logic; error-envelope formatting.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End-to-end token lifecycle; gateway routing to a mock downstream service.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against the published OpenAPI specification for every WP-02-owned endpoint.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Token forgery resistance; rate-limit bypass attempts; TLS enforcement (UT-API-01, IT-API-01, ST-API-01, PT-API-01 per MEKB Part 5).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Gateway throughput and added-latency under projected peak load (PT-API-01).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— validated indirectly through the first consuming module's (WP-04) UAT.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contract-test suite re-run whenever a new module registers endpoints behind the gateway.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API documentation: OpenAPI 3.1 specification published and versioned.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choice of token strategy (JWT vs. opaque token + introspection), gateway technology.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FR-API-01/02, NFR-API-01/02, NFR-INT-01, COMP-02 marked implemented.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Architecture diagrams: Integration Architecture diagram updated with the gateway as the single ingress point.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gateway configuration/code, authentication middleware, rate limiter, API key service.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rate limits, token TTLs, CORS policy per environment.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api_keys, api_tokens_refresh, rate_limit_policy tables.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OpenAPI specification, ADR, traceability matrix updates.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gateway deployment wired into WP-03's CI/CD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gateway latency, error-rate, and rate-limit-trigger dashboards.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 client can obtain, use, and refresh an access token end to end (FR-API-01, NFR-API-01).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Every gateway-routed response conforms to the standard envelope (FR-API-02).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Rate limiting demonstrably blocks traffic beyond the configured threshold (NFR-API-02).</w:t>
      </w:r>
    </w:p>
    <w:p>
      <w:pPr>
        <w:spacing w:after="90" w:line="264"/>
      </w:pPr>
      <w:r>
        <w:rPr>
          <w:b/>
          <w:bCs/>
          <w:color w:val="2E3440"/>
        </w:rPr>
        <w:t xml:space="preserve">4. </w:t>
      </w:r>
      <w:r>
        <w:t xml:space="preserve">An external partner can authenticate via API key independent of end-user sessions (NFR-INT-01).</w:t>
      </w:r>
    </w:p>
    <w:p>
      <w:pPr>
        <w:spacing w:after="90" w:line="264"/>
      </w:pPr>
      <w:r>
        <w:rPr>
          <w:b/>
          <w:bCs/>
          <w:color w:val="2E3440"/>
        </w:rPr>
        <w:t xml:space="preserve">5. </w:t>
      </w:r>
      <w:r>
        <w:t xml:space="preserve">OpenAPI specification is published and matches the implemented endpoints exactly (COMP-02).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WP-01 closed and available in the target environment.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AIDS Parts 1-17 approved and unchanged since last review.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Gateway technology provisioned in the development environment by WP-03.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 and independently verified.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of gateway and authentication code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Architect sign-off on token strategy and TLS enforcement.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 for all Section 4 requirement IDs.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 and merged.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recorded by Solution Architect and Technical Lead.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Every downstream module depends on this gateway; a design flaw here propagates to all twenty modules.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Architecture Review Board reviews the gateway contract before any module Work Package begins consuming it (Section 1.8, EWPL Part 1).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Token strategy proves too restrictive or too permissive once real integration partners are onboarded.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Integration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Token TTLs and scopes are configuration, not code, so they can be tuned without a redeploy.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Rate limiting misconfigured, blocking legitimate traffic at go-live.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Delivery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Rate limit thresholds tested under realistic load in Section 13 before Definition of Done, not discovered in production.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complete: gateway, authentication middleware, rate limiter, API key service merged to trunk.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passed: unit, integration, API, security, and performance suites green.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updated: OpenAPI specification,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 and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validated: token strategy and TLS sign-off obtained.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validated: throughput/latency results within threshold.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validated: not applicable (no UI surface).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WP-02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WP-02); AIDS Parts 1-17 in full; EWPL WP-01 (upstream dependency); Engineering Handbook Ch. 12 (API Engineering Standards).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Enterprise Solution Architecture — Integration Architecture section; MEKB Part 11 Dependency Matrix entry for WP-02.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five platform-level endpoints in Section 8 are what this Work Package builds; no external API dependency beyond WP-01's data access layer.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api_keys, api_tokens_refresh, rate_limit_policy (Section 9), built on WP-01's core schema.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None.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Token signing/validation, TLS enforcement, rate limiting, audit logging of auth events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UT-API-01, IT-API-01, ST-API-01, PT-API-01 (MEKB Part 5 / TSAS Part 5 test case catalogue).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Gateway service, authentication middleware, rate limiter, API key service, OpenAPI specification,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OpenAPI specification, ADR log, Requirements Traceability Matrix, Integration Architecture diagram.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 — all nine items must be checked before this Work Package is marked CLOSED.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2026-07-20T16:42:03.263Z</dcterms:created>
  <dcterms:modified xsi:type="dcterms:W3CDTF">2026-07-20T16:42:03.264Z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