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60"/>
        <w:jc w:val="center"/>
      </w:pPr>
      <w:r>
        <w:rPr>
          <w:b/>
          <w:bCs/>
          <w:caps/>
          <w:color w:val="B23A48"/>
          <w:sz w:val="20"/>
          <w:szCs w:val="20"/>
        </w:rPr>
        <w:t xml:space="preserve">VOLUME IV — ENTERPRISE ENGINEERING WORK PACKAGE LIBRARY (EWPL)</w:t>
      </w:r>
    </w:p>
    <w:p>
      <w:pPr>
        <w:spacing w:after="260"/>
        <w:jc w:val="center"/>
      </w:pPr>
      <w:r>
        <w:rPr>
          <w:b/>
          <w:bCs/>
          <w:color w:val="1A1D21"/>
          <w:sz w:val="28"/>
          <w:szCs w:val="28"/>
        </w:rPr>
        <w:t xml:space="preserve">WP-17</w:t>
      </w:r>
    </w:p>
    <w:p>
      <w:pPr>
        <w:pBdr>
          <w:bottom w:val="single" w:color="2E3440" w:sz="14" w:space="10"/>
        </w:pBdr>
        <w:spacing w:after="160"/>
        <w:jc w:val="center"/>
      </w:pPr>
      <w:r>
        <w:rPr>
          <w:b/>
          <w:bCs/>
          <w:color w:val="1A1D21"/>
          <w:sz w:val="40"/>
          <w:szCs w:val="40"/>
        </w:rPr>
        <w:t xml:space="preserve">Analytics</w:t>
      </w:r>
    </w:p>
    <w:p>
      <w:pPr>
        <w:spacing w:after="40" w:before="300"/>
        <w:jc w:val="center"/>
      </w:pPr>
      <w:r>
        <w:rPr>
          <w:color w:val="555555"/>
          <w:sz w:val="20"/>
          <w:szCs w:val="20"/>
        </w:rPr>
        <w:t xml:space="preserve">Enterprise System Management (ESM) Platform &amp;</w:t>
      </w:r>
    </w:p>
    <w:p>
      <w:pPr>
        <w:spacing w:after="40"/>
        <w:jc w:val="center"/>
      </w:pPr>
      <w:r>
        <w:rPr>
          <w:color w:val="555555"/>
          <w:sz w:val="20"/>
          <w:szCs w:val="20"/>
        </w:rPr>
        <w:t xml:space="preserve">Central Knowledge Repository (CKR)</w:t>
      </w:r>
    </w:p>
    <w:p>
      <w:pPr>
        <w:spacing w:after="40"/>
        <w:jc w:val="center"/>
      </w:pPr>
      <w:r>
        <w:rPr>
          <w:color w:val="555555"/>
          <w:sz w:val="20"/>
          <w:szCs w:val="20"/>
        </w:rPr>
        <w:t xml:space="preserve">Special Agro-Industrial Processing Zones (SAPZ) Programme</w:t>
      </w:r>
    </w:p>
    <w:p>
      <w:pPr>
        <w:spacing w:after="300"/>
        <w:jc w:val="center"/>
      </w:pPr>
      <w:r>
        <w:rPr>
          <w:color w:val="555555"/>
          <w:sz w:val="20"/>
          <w:szCs w:val="20"/>
        </w:rPr>
        <w:t xml:space="preserve">Federal Republic of Nigeria</w:t>
      </w:r>
    </w:p>
    <w:p>
      <w:pPr>
        <w:spacing w:before="600"/>
        <w:jc w:val="center"/>
      </w:pPr>
      <w:r>
        <w:rPr>
          <w:i/>
          <w:iCs/>
          <w:color w:val="888888"/>
          <w:sz w:val="17"/>
          <w:szCs w:val="17"/>
        </w:rPr>
        <w:t xml:space="preserve">Implementation-Ready Engineering Work Package — Release 4 (full) / Release 5 (predictive), Sprint 13</w:t>
      </w:r>
    </w:p>
    <w:p>
      <w:r>
        <w:br w:type="page"/>
      </w:r>
    </w:p>
    <w:p>
      <w:pPr>
        <w:spacing w:after="40"/>
        <w:jc w:val="left"/>
      </w:pPr>
      <w:r>
        <w:rPr>
          <w:b/>
          <w:bCs/>
          <w:caps/>
          <w:color w:val="B23A48"/>
          <w:sz w:val="22"/>
          <w:szCs w:val="22"/>
        </w:rPr>
        <w:t xml:space="preserve">WP-17</w:t>
      </w:r>
    </w:p>
    <w:p>
      <w:pPr>
        <w:pBdr>
          <w:bottom w:val="single" w:color="2E3440" w:sz="12" w:space="8"/>
        </w:pBdr>
        <w:spacing w:after="200"/>
        <w:jc w:val="left"/>
      </w:pPr>
      <w:r>
        <w:rPr>
          <w:b/>
          <w:bCs/>
          <w:color w:val="1A1D21"/>
          <w:sz w:val="40"/>
          <w:szCs w:val="40"/>
        </w:rPr>
        <w:t xml:space="preserve">Analytics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Work Package Profile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7056"/>
      </w:tblGrid>
      <w:tr>
        <w:trPr>
          <w:tblHeader/>
        </w:trPr>
        <w:tc>
          <w:tcPr>
            <w:tcW w:type="dxa" w:w="3024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056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Work Package ID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WP-17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Business Capability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Business Intelligence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Engineering Domain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Backend / Frontend (MEKB Part 2)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ERS Release / Sprint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Release 4 (trend/comparative) / Release 5 (predictive) / Sprint 13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Estimated Story Points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12 (Complexity: Medium)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Business / Technical Priority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Medium / Medium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Dependencies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WP-16 (Reporting)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Owner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Backend Lead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Status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Defined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  </w:t>
      </w:r>
      <w:r>
        <w:rPr>
          <w:b/>
          <w:bCs/>
          <w:color w:val="2E3440"/>
          <w:sz w:val="26"/>
          <w:szCs w:val="26"/>
        </w:rPr>
        <w:t xml:space="preserve">Executive Summary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Purpose</w:t>
      </w:r>
    </w:p>
    <w:p>
      <w:pPr>
        <w:spacing w:after="150" w:line="276"/>
        <w:jc w:val="both"/>
      </w:pPr>
      <w:r>
        <w:t xml:space="preserve">Build on Reporting's governed data access to give the organization trend and comparative analytics across programmes, projects, and zones.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Business Objective</w:t>
      </w:r>
    </w:p>
    <w:p>
      <w:pPr>
        <w:spacing w:after="150" w:line="276"/>
        <w:jc w:val="both"/>
      </w:pPr>
      <w:r>
        <w:t xml:space="preserve">Move the organization from reporting on what happened to understanding patterns across programmes — which zones are consistently over budget, which project types run late, and why.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Expected Business Value</w:t>
      </w:r>
    </w:p>
    <w:p>
      <w:pPr>
        <w:spacing w:after="150" w:line="276"/>
        <w:jc w:val="both"/>
      </w:pPr>
      <w:r>
        <w:t xml:space="preserve">Provides the analytical foundation for evidence-based portfolio decisions, and in Release 5, extends into predictive analytics that anticipate risk before it materializes.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2  </w:t>
      </w:r>
      <w:r>
        <w:rPr>
          <w:b/>
          <w:bCs/>
          <w:color w:val="2E3440"/>
          <w:sz w:val="26"/>
          <w:szCs w:val="26"/>
        </w:rPr>
        <w:t xml:space="preserve">Business Context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9"/>
        <w:gridCol w:w="7661"/>
      </w:tblGrid>
      <w:tr>
        <w:trPr>
          <w:tblHeader/>
        </w:trPr>
        <w:tc>
          <w:tcPr>
            <w:tcW w:type="dxa" w:w="2419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661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Business Capability</w:t>
            </w:r>
          </w:p>
        </w:tc>
        <w:tc>
          <w:tcPr>
            <w:tcW w:type="dxa" w:w="766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Business Intelligence — trend, comparative, and (Release 5) predictive analytics.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Stakeholders</w:t>
            </w:r>
          </w:p>
        </w:tc>
        <w:tc>
          <w:tcPr>
            <w:tcW w:type="dxa" w:w="766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Backend Lead (accountable); Programme Manager and Executive Sponsors (primary users).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Business Drivers</w:t>
            </w:r>
          </w:p>
        </w:tc>
        <w:tc>
          <w:tcPr>
            <w:tcW w:type="dxa" w:w="766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SRS Part 16 (Analytics functional requirements).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Problems Addressed</w:t>
            </w:r>
          </w:p>
        </w:tc>
        <w:tc>
          <w:tcPr>
            <w:tcW w:type="dxa" w:w="766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Without this Work Package, patterns across programmes and zones are invisible — each report is read in isolation rather than compared.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3  </w:t>
      </w:r>
      <w:r>
        <w:rPr>
          <w:b/>
          <w:bCs/>
          <w:color w:val="2E3440"/>
          <w:sz w:val="26"/>
          <w:szCs w:val="26"/>
        </w:rPr>
        <w:t xml:space="preserve">Scope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In Scope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Release 4: analytics dashboard with trend visualization (time-series) and comparative views (cross-zone, cross-programme).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Release 5: predictive models (e.g., budget-overrun risk scoring) layered on top of the Release 4 data pipeline.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Out of Scope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Standard/ad hoc reporting itself (delivered by WP-16, which this Work Package depends on).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AI Assistant-driven natural-language analytics queries (delivered by WP-23, which may consume this Work Package's outputs in future scope).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Assumptions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WP-16 is closed and its data-access service is stable before this Work Package begins.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Constraints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Release 5 predictive models must be explainable at a basic level (which factors drove a given risk score) — a black-box score with no rationale is not acceptable for a donor-facing platform.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4  </w:t>
      </w:r>
      <w:r>
        <w:rPr>
          <w:b/>
          <w:bCs/>
          <w:color w:val="2E3440"/>
          <w:sz w:val="26"/>
          <w:szCs w:val="26"/>
        </w:rPr>
        <w:t xml:space="preserve">Requirements Traceability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10"/>
        <w:gridCol w:w="3024"/>
        <w:gridCol w:w="1411"/>
        <w:gridCol w:w="1008"/>
        <w:gridCol w:w="3427"/>
      </w:tblGrid>
      <w:tr>
        <w:trPr>
          <w:tblHeader/>
        </w:trPr>
        <w:tc>
          <w:tcPr>
            <w:tcW w:type="dxa" w:w="1210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 ID</w:t>
            </w:r>
          </w:p>
        </w:tc>
        <w:tc>
          <w:tcPr>
            <w:tcW w:type="dxa" w:w="3024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411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1008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3427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12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FR-ANL-01</w:t>
            </w:r>
          </w:p>
        </w:tc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The platform must present time-series trend visualizations for key programme metrics.</w:t>
            </w:r>
          </w:p>
        </w:tc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SRS Part 16</w:t>
            </w:r>
          </w:p>
        </w:tc>
        <w:tc>
          <w:tcPr>
            <w:tcW w:type="dxa" w:w="100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Must Have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 trend chart correctly renders a metric (e.g., budget utilization) over a selected date range.</w:t>
            </w:r>
          </w:p>
        </w:tc>
      </w:tr>
      <w:tr>
        <w:tc>
          <w:tcPr>
            <w:tcW w:type="dxa" w:w="12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FR-ANL-02</w:t>
            </w:r>
          </w:p>
        </w:tc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The platform must support comparative analytics across zones/programmes.</w:t>
            </w:r>
          </w:p>
        </w:tc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SRS Part 16</w:t>
            </w:r>
          </w:p>
        </w:tc>
        <w:tc>
          <w:tcPr>
            <w:tcW w:type="dxa" w:w="100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Must Have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 comparative view correctly ranks/compares a metric across selected zones or programmes.</w:t>
            </w:r>
          </w:p>
        </w:tc>
      </w:tr>
      <w:tr>
        <w:tc>
          <w:tcPr>
            <w:tcW w:type="dxa" w:w="12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FR-ANL-03</w:t>
            </w:r>
          </w:p>
        </w:tc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The platform must provide predictive risk scoring for programmes (Release 5).</w:t>
            </w:r>
          </w:p>
        </w:tc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SRS Part 16</w:t>
            </w:r>
          </w:p>
        </w:tc>
        <w:tc>
          <w:tcPr>
            <w:tcW w:type="dxa" w:w="100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Should Have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 risk score is generated with an accompanying explanation of contributing factors.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5  </w:t>
      </w:r>
      <w:r>
        <w:rPr>
          <w:b/>
          <w:bCs/>
          <w:color w:val="2E3440"/>
          <w:sz w:val="26"/>
          <w:szCs w:val="26"/>
        </w:rPr>
        <w:t xml:space="preserve">Functional Specification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Trend explorer (time-series charts).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Comparative view (cross-zone/programme ranking).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Release 5: predictive risk scoring with factor explanation.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User Stories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As a Programme Manager, I can see how my programme's budget utilization has trended over the past year.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As an Executive Sponsor, I can compare delivery performance across zones.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As a Programme Manager (Release 5), I can see a risk score for my programme and understand what is driving it.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Business Rules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Comparative views respect the viewer's zone access — a zone-scoped user cannot compare zones outside their access.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Validation Rules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 trend chart requires a valid date range no longer than the configured maximum lookback period.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Workflows</w:t>
      </w:r>
    </w:p>
    <w:p>
      <w:pPr>
        <w:spacing w:after="150" w:line="276"/>
        <w:jc w:val="both"/>
      </w:pPr>
      <w:r>
        <w:t xml:space="preserve">User selects a metric and date range or comparison set → analytics service queries WP-16's data-access layer → results render as a trend chart or comparative view → Release 5 additionally computes a risk score with factor breakdown for the selected programme.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Error Scenarios &amp; Exception Handling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Insufficient historical data for a meaningful trend: chart renders with a clear 'insufficient data' notice rather than a misleading sparse line.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6  </w:t>
      </w:r>
      <w:r>
        <w:rPr>
          <w:b/>
          <w:bCs/>
          <w:color w:val="2E3440"/>
          <w:sz w:val="26"/>
          <w:szCs w:val="26"/>
        </w:rPr>
        <w:t xml:space="preserve">Technical Specification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7862"/>
      </w:tblGrid>
      <w:tr>
        <w:trPr>
          <w:tblHeader/>
        </w:trPr>
        <w:tc>
          <w:tcPr>
            <w:tcW w:type="dxa" w:w="2218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Element</w:t>
            </w:r>
          </w:p>
        </w:tc>
        <w:tc>
          <w:tcPr>
            <w:tcW w:type="dxa" w:w="7862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Architecture References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SRS Part 16; DDS Part 13 (Reporting &amp; Analytics Model); AI &amp; Knowledge Management Strategy (Release 5 predictive component).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Components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Analytics aggregation service, trend/comparative frontend, predictive scoring service (Release 5).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Services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Analytics query service, built on WP-16's data-access layer.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Database Entities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analytics_metric_cache (precomputed aggregates); risk_scores (Release 5).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Events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analytics.cache_refreshed, risk_score.computed (Release 5).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Background Jobs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Scheduled metric-cache refresh job.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Configuration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Maximum lookback period; risk-scoring model parameters (Release 5).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Feature Flags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predictive-analytics flag, toggled on in Release 5.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7  </w:t>
      </w:r>
      <w:r>
        <w:rPr>
          <w:b/>
          <w:bCs/>
          <w:color w:val="2E3440"/>
          <w:sz w:val="26"/>
          <w:szCs w:val="26"/>
        </w:rPr>
        <w:t xml:space="preserve">User Interface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9"/>
        <w:gridCol w:w="3629"/>
        <w:gridCol w:w="4032"/>
      </w:tblGrid>
      <w:tr>
        <w:trPr>
          <w:tblHeader/>
        </w:trPr>
        <w:tc>
          <w:tcPr>
            <w:tcW w:type="dxa" w:w="2419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Screen</w:t>
            </w:r>
          </w:p>
        </w:tc>
        <w:tc>
          <w:tcPr>
            <w:tcW w:type="dxa" w:w="3629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  <w:tc>
          <w:tcPr>
            <w:tcW w:type="dxa" w:w="4032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Key Interactions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Trend Explorer</w:t>
            </w:r>
          </w:p>
        </w:tc>
        <w:tc>
          <w:tcPr>
            <w:tcW w:type="dxa" w:w="362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Time-series visualization of a selected metric.</w:t>
            </w:r>
          </w:p>
        </w:tc>
        <w:tc>
          <w:tcPr>
            <w:tcW w:type="dxa" w:w="40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Metric selection, date-range filter.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Comparative View</w:t>
            </w:r>
          </w:p>
        </w:tc>
        <w:tc>
          <w:tcPr>
            <w:tcW w:type="dxa" w:w="362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Cross-zone/programme comparison.</w:t>
            </w:r>
          </w:p>
        </w:tc>
        <w:tc>
          <w:tcPr>
            <w:tcW w:type="dxa" w:w="40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Select comparison set, sort/rank.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Risk Insight Panel (Release 5)</w:t>
            </w:r>
          </w:p>
        </w:tc>
        <w:tc>
          <w:tcPr>
            <w:tcW w:type="dxa" w:w="362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Predictive risk score and factor explanation.</w:t>
            </w:r>
          </w:p>
        </w:tc>
        <w:tc>
          <w:tcPr>
            <w:tcW w:type="dxa" w:w="40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View score, drill into contributing factors.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8  </w:t>
      </w:r>
      <w:r>
        <w:rPr>
          <w:b/>
          <w:bCs/>
          <w:color w:val="2E3440"/>
          <w:sz w:val="26"/>
          <w:szCs w:val="26"/>
        </w:rPr>
        <w:t xml:space="preserve">API Specification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1613"/>
        <w:gridCol w:w="3427"/>
        <w:gridCol w:w="2218"/>
      </w:tblGrid>
      <w:tr>
        <w:trPr>
          <w:tblHeader/>
        </w:trPr>
        <w:tc>
          <w:tcPr>
            <w:tcW w:type="dxa" w:w="2822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1613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3427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  <w:tc>
          <w:tcPr>
            <w:tcW w:type="dxa" w:w="2218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Auth</w:t>
            </w:r>
          </w:p>
        </w:tc>
      </w:tr>
      <w:tr>
        <w:tc>
          <w:tcPr>
            <w:tcW w:type="dxa" w:w="282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/api/v1/analytics/trends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GET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Retrieve time-series data for a metric.</w:t>
            </w:r>
          </w:p>
        </w:tc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Access token</w:t>
            </w:r>
          </w:p>
        </w:tc>
      </w:tr>
      <w:tr>
        <w:tc>
          <w:tcPr>
            <w:tcW w:type="dxa" w:w="282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/api/v1/analytics/compare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GET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Retrieve comparative data across zones/programmes.</w:t>
            </w:r>
          </w:p>
        </w:tc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Access token</w:t>
            </w:r>
          </w:p>
        </w:tc>
      </w:tr>
      <w:tr>
        <w:tc>
          <w:tcPr>
            <w:tcW w:type="dxa" w:w="282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/api/v1/analytics/risk-score/{programmeId}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GET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Retrieve predictive risk score (Release 5).</w:t>
            </w:r>
          </w:p>
        </w:tc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Access token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9  </w:t>
      </w:r>
      <w:r>
        <w:rPr>
          <w:b/>
          <w:bCs/>
          <w:color w:val="2E3440"/>
          <w:sz w:val="26"/>
          <w:szCs w:val="26"/>
        </w:rPr>
        <w:t xml:space="preserve">Database Specification</w:t>
      </w:r>
    </w:p>
    <w:p>
      <w:pPr>
        <w:spacing w:after="150" w:line="276"/>
        <w:jc w:val="both"/>
      </w:pPr>
      <w:r>
        <w:t xml:space="preserve">Introduces analytics_metric_cache (metric, scope, period, value) for precomputed aggregates, and, in Release 5, risk_scores (programme_id, score, contributing_factors as structured data, computed_at). Both organization-scoped and audited per WP-01 convention.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10  </w:t>
      </w:r>
      <w:r>
        <w:rPr>
          <w:b/>
          <w:bCs/>
          <w:color w:val="2E3440"/>
          <w:sz w:val="26"/>
          <w:szCs w:val="26"/>
        </w:rPr>
        <w:t xml:space="preserve">Security Requirements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8064"/>
      </w:tblGrid>
      <w:tr>
        <w:trPr>
          <w:tblHeader/>
        </w:trPr>
        <w:tc>
          <w:tcPr>
            <w:tcW w:type="dxa" w:w="2016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Control</w:t>
            </w:r>
          </w:p>
        </w:tc>
        <w:tc>
          <w:tcPr>
            <w:tcW w:type="dxa" w:w="8064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Authentication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WP-02 access token required.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Authorization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Comparative views respect the viewer's zone access; cross-zone comparison restricted to platform-wide-scoped roles.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RBAC / ABAC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Standard zone-scoping model, consistent with WP-16.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Encryption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Standard WP-01 policy applies.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Audit Logging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Analytics queries logged, including which zones' data were included in a comparison.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Compliance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Not applicable beyond standard platform data handling.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Privacy Controls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Not applicable — analytics operate on aggregate programme/project data, not individual-level personal data.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11  </w:t>
      </w:r>
      <w:r>
        <w:rPr>
          <w:b/>
          <w:bCs/>
          <w:color w:val="2E3440"/>
          <w:sz w:val="26"/>
          <w:szCs w:val="26"/>
        </w:rPr>
        <w:t xml:space="preserve">AI Components</w:t>
      </w:r>
    </w:p>
    <w:p>
      <w:pPr>
        <w:spacing w:after="150" w:line="276"/>
        <w:jc w:val="both"/>
      </w:pPr>
      <w:r>
        <w:t xml:space="preserve">Release 5's predictive risk scoring is the platform's first applied predictive-analytics component. The model must produce an explainable output (contributing factors), consistent with the AI &amp; Knowledge Management Strategy's requirement that AI-influenced decisions remain interpretable to a non-technical Programme Manager.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12  </w:t>
      </w:r>
      <w:r>
        <w:rPr>
          <w:b/>
          <w:bCs/>
          <w:color w:val="2E3440"/>
          <w:sz w:val="26"/>
          <w:szCs w:val="26"/>
        </w:rPr>
        <w:t xml:space="preserve">Integration Requirements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3"/>
        <w:gridCol w:w="8467"/>
      </w:tblGrid>
      <w:tr>
        <w:trPr>
          <w:tblHeader/>
        </w:trPr>
        <w:tc>
          <w:tcPr>
            <w:tcW w:type="dxa" w:w="1613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467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Internal</w:t>
            </w:r>
          </w:p>
        </w:tc>
        <w:tc>
          <w:tcPr>
            <w:tcW w:type="dxa" w:w="846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Built on WP-16's data-access service; may be consumed by WP-06's Executive Dashboard once both are live.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External</w:t>
            </w:r>
          </w:p>
        </w:tc>
        <w:tc>
          <w:tcPr>
            <w:tcW w:type="dxa" w:w="846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None in Release 4; a hosted model-scoring service may be used in Release 5, per the AI &amp; Knowledge Management Strategy.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Events</w:t>
            </w:r>
          </w:p>
        </w:tc>
        <w:tc>
          <w:tcPr>
            <w:tcW w:type="dxa" w:w="846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analytics.cache_refreshed / risk_score.computed (Section 6).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Webhooks</w:t>
            </w:r>
          </w:p>
        </w:tc>
        <w:tc>
          <w:tcPr>
            <w:tcW w:type="dxa" w:w="846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None owned directly.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Batch Jobs</w:t>
            </w:r>
          </w:p>
        </w:tc>
        <w:tc>
          <w:tcPr>
            <w:tcW w:type="dxa" w:w="846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Scheduled metric-cache refresh (Section 6).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13  </w:t>
      </w:r>
      <w:r>
        <w:rPr>
          <w:b/>
          <w:bCs/>
          <w:color w:val="2E3440"/>
          <w:sz w:val="26"/>
          <w:szCs w:val="26"/>
        </w:rPr>
        <w:t xml:space="preserve">Testing Requirements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8064"/>
      </w:tblGrid>
      <w:tr>
        <w:trPr>
          <w:tblHeader/>
        </w:trPr>
        <w:tc>
          <w:tcPr>
            <w:tcW w:type="dxa" w:w="2016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Test Type</w:t>
            </w:r>
          </w:p>
        </w:tc>
        <w:tc>
          <w:tcPr>
            <w:tcW w:type="dxa" w:w="8064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Coverage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Unit Tests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Metric aggregation logic; risk-score factor-weighting logic (Release 5).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Integration Tests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Trend and comparative views render correctly against seeded WP-16 data.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API Tests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Contract tests for all Section 8 endpoints.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UI Tests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Trend explorer, comparative view, and risk insight panel (Release 5).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Security Tests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Zone-scoping enforcement in comparative views.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Performance Tests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Trend/comparative query performance at realistic historical-data volume.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UAT Scenarios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Validated through the standard analytics review with a Programme Manager; no dedicated UAT gate for this Work Package, consistent with its Master Catalogue classification.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Regression Tests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Full suite re-run whenever WP-16's data-access contract changes.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14  </w:t>
      </w:r>
      <w:r>
        <w:rPr>
          <w:b/>
          <w:bCs/>
          <w:color w:val="2E3440"/>
          <w:sz w:val="26"/>
          <w:szCs w:val="26"/>
        </w:rPr>
        <w:t xml:space="preserve">Documentation Updates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User Guide: trend explorer and comparative view usage.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ADR: predictive model selection and explainability approach (Release 5).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Traceability Matrix: FR-ANL-01/02/03 marked implemented.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15  </w:t>
      </w:r>
      <w:r>
        <w:rPr>
          <w:b/>
          <w:bCs/>
          <w:color w:val="2E3440"/>
          <w:sz w:val="26"/>
          <w:szCs w:val="26"/>
        </w:rPr>
        <w:t xml:space="preserve">Deliverables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Source code: analytics aggregation service, frontend, predictive scoring service (Release 5).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Configuration: lookback period, risk-model parameters.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Database migrations: analytics_metric_cache; risk_scores (Release 5).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Tests: full suite per Section 13.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Documentation: user guide, ADR, traceability matrix.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Deployment scripts: wired into WP-03's pipeline.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Monitoring configuration: cache-refresh and risk-scoring job dashboards.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16  </w:t>
      </w:r>
      <w:r>
        <w:rPr>
          <w:b/>
          <w:bCs/>
          <w:color w:val="2E3440"/>
          <w:sz w:val="26"/>
          <w:szCs w:val="26"/>
        </w:rPr>
        <w:t xml:space="preserve">Acceptance Criteria</w:t>
      </w:r>
    </w:p>
    <w:p>
      <w:pPr>
        <w:spacing w:after="90" w:line="264"/>
      </w:pPr>
      <w:r>
        <w:rPr>
          <w:b/>
          <w:bCs/>
          <w:color w:val="2E3440"/>
        </w:rPr>
        <w:t xml:space="preserve">1. </w:t>
      </w:r>
      <w:r>
        <w:t xml:space="preserve">A trend chart correctly renders a selected metric over a date range (FR-ANL-01).</w:t>
      </w:r>
    </w:p>
    <w:p>
      <w:pPr>
        <w:spacing w:after="90" w:line="264"/>
      </w:pPr>
      <w:r>
        <w:rPr>
          <w:b/>
          <w:bCs/>
          <w:color w:val="2E3440"/>
        </w:rPr>
        <w:t xml:space="preserve">2. </w:t>
      </w:r>
      <w:r>
        <w:t xml:space="preserve">A comparative view correctly ranks/compares a metric across selected zones/programmes, respecting viewer access (FR-ANL-02).</w:t>
      </w:r>
    </w:p>
    <w:p>
      <w:pPr>
        <w:spacing w:after="90" w:line="264"/>
      </w:pPr>
      <w:r>
        <w:rPr>
          <w:b/>
          <w:bCs/>
          <w:color w:val="2E3440"/>
        </w:rPr>
        <w:t xml:space="preserve">3. </w:t>
      </w:r>
      <w:r>
        <w:t xml:space="preserve">A predictive risk score is generated with an accompanying factor explanation (FR-ANL-03, Release 5).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17  </w:t>
      </w:r>
      <w:r>
        <w:rPr>
          <w:b/>
          <w:bCs/>
          <w:color w:val="2E3440"/>
          <w:sz w:val="26"/>
          <w:szCs w:val="26"/>
        </w:rPr>
        <w:t xml:space="preserve">Definition of Ready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WP-16 closed.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SRS Part 16 approved and unchanged since last review.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18  </w:t>
      </w:r>
      <w:r>
        <w:rPr>
          <w:b/>
          <w:bCs/>
          <w:color w:val="2E3440"/>
          <w:sz w:val="26"/>
          <w:szCs w:val="26"/>
        </w:rPr>
        <w:t xml:space="preserve">Definition of Done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All Section 16 acceptance criteria met.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Peer review approved.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Traceability Matrix updated.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ADR recorded.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Definition of Done sign-off by Backend Lead and Programme Manager.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19  </w:t>
      </w:r>
      <w:r>
        <w:rPr>
          <w:b/>
          <w:bCs/>
          <w:color w:val="2E3440"/>
          <w:sz w:val="26"/>
          <w:szCs w:val="26"/>
        </w:rPr>
        <w:t xml:space="preserve">Risks &amp; Mitigations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7"/>
        <w:gridCol w:w="1411"/>
        <w:gridCol w:w="5242"/>
      </w:tblGrid>
      <w:tr>
        <w:trPr>
          <w:tblHeader/>
        </w:trPr>
        <w:tc>
          <w:tcPr>
            <w:tcW w:type="dxa" w:w="3427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Risk</w:t>
            </w:r>
          </w:p>
        </w:tc>
        <w:tc>
          <w:tcPr>
            <w:tcW w:type="dxa" w:w="1411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dxa" w:w="5242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Mitigation</w:t>
            </w:r>
          </w:p>
        </w:tc>
      </w:tr>
      <w:tr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Predictive risk scores are treated as authoritative rather than advisory, undermining human judgment.</w:t>
            </w:r>
          </w:p>
        </w:tc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Business</w:t>
            </w:r>
          </w:p>
        </w:tc>
        <w:tc>
          <w:tcPr>
            <w:tcW w:type="dxa" w:w="524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Every score ships with a mandatory factor explanation and is presented as advisory input, per the AI &amp; Knowledge Management Strategy's explainability requirement.</w:t>
            </w:r>
          </w:p>
        </w:tc>
      </w:tr>
      <w:tr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Comparative analytics inadvertently exposes cross-zone data to a zone-scoped user.</w:t>
            </w:r>
          </w:p>
        </w:tc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Security</w:t>
            </w:r>
          </w:p>
        </w:tc>
        <w:tc>
          <w:tcPr>
            <w:tcW w:type="dxa" w:w="524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Cross-zone comparison explicitly restricted to platform-wide-scoped roles and covered by a dedicated security test.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20  </w:t>
      </w:r>
      <w:r>
        <w:rPr>
          <w:b/>
          <w:bCs/>
          <w:color w:val="2E3440"/>
          <w:sz w:val="26"/>
          <w:szCs w:val="26"/>
        </w:rPr>
        <w:t xml:space="preserve">Engineering Checklist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Code complete.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Tests passed.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Documentation updated.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ADR updated.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Security validated.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Performance validated.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Accessibility validated.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Peer review approved.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Traceability updated.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21  </w:t>
      </w:r>
      <w:r>
        <w:rPr>
          <w:b/>
          <w:bCs/>
          <w:color w:val="2E3440"/>
          <w:sz w:val="26"/>
          <w:szCs w:val="26"/>
        </w:rPr>
        <w:t xml:space="preserve">Antigravity Implementation Package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2E8E9" w:sz="2"/>
              <w:left w:val="single" w:color="B23A48" w:sz="24"/>
              <w:bottom w:val="single" w:color="F2E8E9" w:sz="2"/>
              <w:right w:val="single" w:color="F2E8E9" w:sz="2"/>
            </w:tcBorders>
            <w:shd w:fill="F2E8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B23A48"/>
                <w:sz w:val="17"/>
                <w:szCs w:val="17"/>
              </w:rPr>
              <w:t xml:space="preserve">ANTIGRAVITY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This section is the complete, self-contained handoff package for Antigravity to execute WP-17 without consulting any document outside this list.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7459"/>
      </w:tblGrid>
      <w:tr>
        <w:trPr>
          <w:tblHeader/>
        </w:trPr>
        <w:tc>
          <w:tcPr>
            <w:tcW w:type="dxa" w:w="2621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Element</w:t>
            </w:r>
          </w:p>
        </w:tc>
        <w:tc>
          <w:tcPr>
            <w:tcW w:type="dxa" w:w="7459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Required Context Documents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This document (EWPL WP-17); SRS Part 16; AI &amp; Knowledge Management Strategy; EWPL WP-16.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Mandatory Architecture References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MEKB Part 11 Dependency Matrix entry for WP-17.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Required APIs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The three endpoints in Section 8.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Required Database Objects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analytics_metric_cache; risk_scores (Release 5) — Section 9.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Required UI Components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The three screens in Section 7.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Security Controls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Zone-scoped comparative access, audit logging of query scope — Section 10.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Test Cases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The full Section 13 suite.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Expected Engineering Outputs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Analytics aggregation service, frontend, predictive scoring service (Release 5), full test suite, ADR.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Documentation Updates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User Guide, ADR log, Requirements Traceability Matrix.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Completion Checklist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Identical to Section 20.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</w:pPr>
    <w:rPr>
      <w:rFonts w:ascii="Calibri" w:cs="Calibri" w:eastAsia="Calibri" w:hAnsi="Calibri"/>
      <w:b/>
      <w:bCs/>
      <w:color w:val="2E3440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10" w:before="240"/>
    </w:pPr>
    <w:rPr>
      <w:rFonts w:ascii="Calibri" w:cs="Calibri" w:eastAsia="Calibri" w:hAnsi="Calibri"/>
      <w:b/>
      <w:bCs/>
      <w:color w:val="2E344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2026-07-20T17:08:09.326Z</dcterms:created>
  <dcterms:modified xsi:type="dcterms:W3CDTF">2026-07-20T17:08:09.326Z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