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0"/>
      </w:pPr>
    </w:p>
    <w:p>
      <w:pPr>
        <w:spacing w:after="60"/>
        <w:jc w:val="center"/>
      </w:pPr>
      <w:r>
        <w:rPr>
          <w:b/>
          <w:bCs/>
          <w:caps/>
          <w:color w:val="B23A48"/>
          <w:sz w:val="20"/>
          <w:szCs w:val="20"/>
        </w:rPr>
        <w:t xml:space="preserve">VOLUME IV — ENTERPRISE ENGINEERING WORK PACKAGE LIBRARY (EWPL)</w:t>
      </w:r>
    </w:p>
    <w:p>
      <w:pPr>
        <w:spacing w:after="260"/>
        <w:jc w:val="center"/>
      </w:pPr>
      <w:r>
        <w:rPr>
          <w:b/>
          <w:bCs/>
          <w:color w:val="1A1D21"/>
          <w:sz w:val="28"/>
          <w:szCs w:val="28"/>
        </w:rPr>
        <w:t xml:space="preserve">WP-18</w:t>
      </w:r>
    </w:p>
    <w:p>
      <w:pPr>
        <w:pBdr>
          <w:bottom w:val="single" w:color="2E3440" w:sz="14" w:space="10"/>
        </w:pBdr>
        <w:spacing w:after="160"/>
        <w:jc w:val="center"/>
      </w:pPr>
      <w:r>
        <w:rPr>
          <w:b/>
          <w:bCs/>
          <w:color w:val="1A1D21"/>
          <w:sz w:val="40"/>
          <w:szCs w:val="40"/>
        </w:rPr>
        <w:t xml:space="preserve">Notifications (Platform-Wide)</w:t>
      </w:r>
    </w:p>
    <w:p>
      <w:pPr>
        <w:spacing w:after="40" w:before="300"/>
        <w:jc w:val="center"/>
      </w:pPr>
      <w:r>
        <w:rPr>
          <w:color w:val="555555"/>
          <w:sz w:val="20"/>
          <w:szCs w:val="20"/>
        </w:rPr>
        <w:t xml:space="preserve">Enterprise System Management (ESM) Platform &amp;</w:t>
      </w:r>
    </w:p>
    <w:p>
      <w:pPr>
        <w:spacing w:after="40"/>
        <w:jc w:val="center"/>
      </w:pPr>
      <w:r>
        <w:rPr>
          <w:color w:val="555555"/>
          <w:sz w:val="20"/>
          <w:szCs w:val="20"/>
        </w:rPr>
        <w:t xml:space="preserve">Central Knowledge Repository (CKR)</w:t>
      </w:r>
    </w:p>
    <w:p>
      <w:pPr>
        <w:spacing w:after="40"/>
        <w:jc w:val="center"/>
      </w:pPr>
      <w:r>
        <w:rPr>
          <w:color w:val="555555"/>
          <w:sz w:val="20"/>
          <w:szCs w:val="20"/>
        </w:rPr>
        <w:t xml:space="preserve">Special Agro-Industrial Processing Zones (SAPZ) Programme</w:t>
      </w:r>
    </w:p>
    <w:p>
      <w:pPr>
        <w:spacing w:after="300"/>
        <w:jc w:val="center"/>
      </w:pPr>
      <w:r>
        <w:rPr>
          <w:color w:val="555555"/>
          <w:sz w:val="20"/>
          <w:szCs w:val="20"/>
        </w:rPr>
        <w:t xml:space="preserve">Federal Republic of Nigeria</w:t>
      </w:r>
    </w:p>
    <w:p>
      <w:pPr>
        <w:spacing w:before="600"/>
        <w:jc w:val="center"/>
      </w:pPr>
      <w:r>
        <w:rPr>
          <w:i/>
          <w:iCs/>
          <w:color w:val="888888"/>
          <w:sz w:val="17"/>
          <w:szCs w:val="17"/>
        </w:rPr>
        <w:t xml:space="preserve">Implementation-Ready Engineering Work Package — Release 1 (thin) / Release 4 (full), Sprint 14</w:t>
      </w:r>
    </w:p>
    <w:p>
      <w:r>
        <w:br w:type="page"/>
      </w:r>
    </w:p>
    <w:p>
      <w:pPr>
        <w:spacing w:after="40"/>
        <w:jc w:val="left"/>
      </w:pPr>
      <w:r>
        <w:rPr>
          <w:b/>
          <w:bCs/>
          <w:caps/>
          <w:color w:val="B23A48"/>
          <w:sz w:val="22"/>
          <w:szCs w:val="22"/>
        </w:rPr>
        <w:t xml:space="preserve">WP-18</w:t>
      </w:r>
    </w:p>
    <w:p>
      <w:pPr>
        <w:pBdr>
          <w:bottom w:val="single" w:color="2E3440" w:sz="12" w:space="8"/>
        </w:pBdr>
        <w:spacing w:after="200"/>
        <w:jc w:val="left"/>
      </w:pPr>
      <w:r>
        <w:rPr>
          <w:b/>
          <w:bCs/>
          <w:color w:val="1A1D21"/>
          <w:sz w:val="40"/>
          <w:szCs w:val="40"/>
        </w:rPr>
        <w:t xml:space="preserve">Notifications (Platform-Wide)</w:t>
      </w:r>
    </w:p>
    <w:p>
      <w:pPr>
        <w:spacing w:after="90" w:before="180"/>
      </w:pPr>
      <w:r>
        <w:rPr>
          <w:b/>
          <w:bCs/>
          <w:color w:val="1A1D21"/>
          <w:sz w:val="19"/>
          <w:szCs w:val="19"/>
        </w:rPr>
        <w:t xml:space="preserve">Work Package Profile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24"/>
        <w:gridCol w:w="7056"/>
      </w:tblGrid>
      <w:tr>
        <w:trPr>
          <w:tblHeader/>
        </w:trPr>
        <w:tc>
          <w:tcPr>
            <w:tcW w:type="dxa" w:w="3024"/>
            <w:shd w:fill="2E344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7056"/>
            <w:shd w:fill="2E344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Value</w:t>
            </w:r>
          </w:p>
        </w:tc>
      </w:tr>
      <w:tr>
        <w:tc>
          <w:tcPr>
            <w:tcW w:type="dxa" w:w="302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6"/>
                <w:szCs w:val="16"/>
              </w:rPr>
              <w:t xml:space="preserve">Work Package ID</w:t>
            </w:r>
          </w:p>
        </w:tc>
        <w:tc>
          <w:tcPr>
            <w:tcW w:type="dxa" w:w="705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WP-18</w:t>
            </w:r>
          </w:p>
        </w:tc>
      </w:tr>
      <w:tr>
        <w:tc>
          <w:tcPr>
            <w:tcW w:type="dxa" w:w="302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6"/>
                <w:szCs w:val="16"/>
              </w:rPr>
              <w:t xml:space="preserve">Business Capability</w:t>
            </w:r>
          </w:p>
        </w:tc>
        <w:tc>
          <w:tcPr>
            <w:tcW w:type="dxa" w:w="705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Platform Communication</w:t>
            </w:r>
          </w:p>
        </w:tc>
      </w:tr>
      <w:tr>
        <w:tc>
          <w:tcPr>
            <w:tcW w:type="dxa" w:w="302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6"/>
                <w:szCs w:val="16"/>
              </w:rPr>
              <w:t xml:space="preserve">Engineering Domain</w:t>
            </w:r>
          </w:p>
        </w:tc>
        <w:tc>
          <w:tcPr>
            <w:tcW w:type="dxa" w:w="705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Backend (MEKB Part 2)</w:t>
            </w:r>
          </w:p>
        </w:tc>
      </w:tr>
      <w:tr>
        <w:tc>
          <w:tcPr>
            <w:tcW w:type="dxa" w:w="302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6"/>
                <w:szCs w:val="16"/>
              </w:rPr>
              <w:t xml:space="preserve">ERS Release / Sprint</w:t>
            </w:r>
          </w:p>
        </w:tc>
        <w:tc>
          <w:tcPr>
            <w:tcW w:type="dxa" w:w="705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Release 1 (thin: system alerts) / Release 4 (full) / Sprint 14</w:t>
            </w:r>
          </w:p>
        </w:tc>
      </w:tr>
      <w:tr>
        <w:tc>
          <w:tcPr>
            <w:tcW w:type="dxa" w:w="302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6"/>
                <w:szCs w:val="16"/>
              </w:rPr>
              <w:t xml:space="preserve">Estimated Story Points</w:t>
            </w:r>
          </w:p>
        </w:tc>
        <w:tc>
          <w:tcPr>
            <w:tcW w:type="dxa" w:w="705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10 (Complexity: Low)</w:t>
            </w:r>
          </w:p>
        </w:tc>
      </w:tr>
      <w:tr>
        <w:tc>
          <w:tcPr>
            <w:tcW w:type="dxa" w:w="302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6"/>
                <w:szCs w:val="16"/>
              </w:rPr>
              <w:t xml:space="preserve">Business / Technical Priority</w:t>
            </w:r>
          </w:p>
        </w:tc>
        <w:tc>
          <w:tcPr>
            <w:tcW w:type="dxa" w:w="705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Medium / Medium</w:t>
            </w:r>
          </w:p>
        </w:tc>
      </w:tr>
      <w:tr>
        <w:tc>
          <w:tcPr>
            <w:tcW w:type="dxa" w:w="302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6"/>
                <w:szCs w:val="16"/>
              </w:rPr>
              <w:t xml:space="preserve">Dependencies</w:t>
            </w:r>
          </w:p>
        </w:tc>
        <w:tc>
          <w:tcPr>
            <w:tcW w:type="dxa" w:w="705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WP-09 (Tasks), WP-10 (Workflow Engine), WP-11 (Approvals)</w:t>
            </w:r>
          </w:p>
        </w:tc>
      </w:tr>
      <w:tr>
        <w:tc>
          <w:tcPr>
            <w:tcW w:type="dxa" w:w="302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6"/>
                <w:szCs w:val="16"/>
              </w:rPr>
              <w:t xml:space="preserve">Owner</w:t>
            </w:r>
          </w:p>
        </w:tc>
        <w:tc>
          <w:tcPr>
            <w:tcW w:type="dxa" w:w="705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Backend Lead</w:t>
            </w:r>
          </w:p>
        </w:tc>
      </w:tr>
      <w:tr>
        <w:tc>
          <w:tcPr>
            <w:tcW w:type="dxa" w:w="302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6"/>
                <w:szCs w:val="16"/>
              </w:rPr>
              <w:t xml:space="preserve">Status</w:t>
            </w:r>
          </w:p>
        </w:tc>
        <w:tc>
          <w:tcPr>
            <w:tcW w:type="dxa" w:w="705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Defined</w:t>
            </w:r>
          </w:p>
        </w:tc>
      </w:tr>
    </w:tbl>
    <w:p>
      <w:pPr>
        <w:pStyle w:val="Heading1"/>
        <w:pBdr>
          <w:bottom w:val="single" w:color="D3D7DC" w:sz="4" w:space="4"/>
        </w:pBdr>
        <w:spacing w:after="140" w:before="360"/>
      </w:pPr>
      <w:r>
        <w:rPr>
          <w:b/>
          <w:bCs/>
          <w:color w:val="B23A48"/>
          <w:sz w:val="26"/>
          <w:szCs w:val="26"/>
        </w:rPr>
        <w:t xml:space="preserve">1  </w:t>
      </w:r>
      <w:r>
        <w:rPr>
          <w:b/>
          <w:bCs/>
          <w:color w:val="2E3440"/>
          <w:sz w:val="26"/>
          <w:szCs w:val="26"/>
        </w:rPr>
        <w:t xml:space="preserve">Executive Summary</w:t>
      </w:r>
    </w:p>
    <w:p>
      <w:pPr>
        <w:spacing w:after="90" w:before="180"/>
      </w:pPr>
      <w:r>
        <w:rPr>
          <w:b/>
          <w:bCs/>
          <w:color w:val="1A1D21"/>
          <w:sz w:val="19"/>
          <w:szCs w:val="19"/>
        </w:rPr>
        <w:t xml:space="preserve">Purpose</w:t>
      </w:r>
    </w:p>
    <w:p>
      <w:pPr>
        <w:spacing w:after="150" w:line="276"/>
        <w:jc w:val="both"/>
      </w:pPr>
      <w:r>
        <w:t xml:space="preserve">Dispatch the events already being produced by Tasks, Workflow, and Approvals to the users who need to act on or be informed of them.</w:t>
      </w:r>
    </w:p>
    <w:p>
      <w:pPr>
        <w:spacing w:after="90" w:before="180"/>
      </w:pPr>
      <w:r>
        <w:rPr>
          <w:b/>
          <w:bCs/>
          <w:color w:val="1A1D21"/>
          <w:sz w:val="19"/>
          <w:szCs w:val="19"/>
        </w:rPr>
        <w:t xml:space="preserve">Business Objective</w:t>
      </w:r>
    </w:p>
    <w:p>
      <w:pPr>
        <w:spacing w:after="150" w:line="276"/>
        <w:jc w:val="both"/>
      </w:pPr>
      <w:r>
        <w:t xml:space="preserve">Ensure users are not required to poll the platform for updates — approvals awaiting them, tasks assigned to them, and system alerts reach them proactively.</w:t>
      </w:r>
    </w:p>
    <w:p>
      <w:pPr>
        <w:spacing w:after="90" w:before="180"/>
      </w:pPr>
      <w:r>
        <w:rPr>
          <w:b/>
          <w:bCs/>
          <w:color w:val="1A1D21"/>
          <w:sz w:val="19"/>
          <w:szCs w:val="19"/>
        </w:rPr>
        <w:t xml:space="preserve">Expected Business Value</w:t>
      </w:r>
    </w:p>
    <w:p>
      <w:pPr>
        <w:spacing w:after="150" w:line="276"/>
        <w:jc w:val="both"/>
      </w:pPr>
      <w:r>
        <w:t xml:space="preserve">Closes the loop on every other module's event stream: a Workflow stage advance or a Task assignment is only useful if the responsible person is told about it promptly.</w:t>
      </w:r>
    </w:p>
    <w:p>
      <w:pPr>
        <w:pStyle w:val="Heading1"/>
        <w:pBdr>
          <w:bottom w:val="single" w:color="D3D7DC" w:sz="4" w:space="4"/>
        </w:pBdr>
        <w:spacing w:after="140" w:before="360"/>
      </w:pPr>
      <w:r>
        <w:rPr>
          <w:b/>
          <w:bCs/>
          <w:color w:val="B23A48"/>
          <w:sz w:val="26"/>
          <w:szCs w:val="26"/>
        </w:rPr>
        <w:t xml:space="preserve">2  </w:t>
      </w:r>
      <w:r>
        <w:rPr>
          <w:b/>
          <w:bCs/>
          <w:color w:val="2E3440"/>
          <w:sz w:val="26"/>
          <w:szCs w:val="26"/>
        </w:rPr>
        <w:t xml:space="preserve">Business Context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19"/>
        <w:gridCol w:w="7661"/>
      </w:tblGrid>
      <w:tr>
        <w:trPr>
          <w:tblHeader/>
        </w:trPr>
        <w:tc>
          <w:tcPr>
            <w:tcW w:type="dxa" w:w="2419"/>
            <w:shd w:fill="2E344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7661"/>
            <w:shd w:fill="2E344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Detail</w:t>
            </w:r>
          </w:p>
        </w:tc>
      </w:tr>
      <w:tr>
        <w:tc>
          <w:tcPr>
            <w:tcW w:type="dxa" w:w="2419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6"/>
                <w:szCs w:val="16"/>
              </w:rPr>
              <w:t xml:space="preserve">Business Capability</w:t>
            </w:r>
          </w:p>
        </w:tc>
        <w:tc>
          <w:tcPr>
            <w:tcW w:type="dxa" w:w="7661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Platform Communication — event-driven notification dispatch.</w:t>
            </w:r>
          </w:p>
        </w:tc>
      </w:tr>
      <w:tr>
        <w:tc>
          <w:tcPr>
            <w:tcW w:type="dxa" w:w="2419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6"/>
                <w:szCs w:val="16"/>
              </w:rPr>
              <w:t xml:space="preserve">Stakeholders</w:t>
            </w:r>
          </w:p>
        </w:tc>
        <w:tc>
          <w:tcPr>
            <w:tcW w:type="dxa" w:w="7661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Backend Lead (accountable); every platform user (recipient); every module Technical Lead that emits events this Work Package consumes.</w:t>
            </w:r>
          </w:p>
        </w:tc>
      </w:tr>
      <w:tr>
        <w:tc>
          <w:tcPr>
            <w:tcW w:type="dxa" w:w="2419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6"/>
                <w:szCs w:val="16"/>
              </w:rPr>
              <w:t xml:space="preserve">Business Drivers</w:t>
            </w:r>
          </w:p>
        </w:tc>
        <w:tc>
          <w:tcPr>
            <w:tcW w:type="dxa" w:w="7661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SRS Part 17 (Notifications functional requirements).</w:t>
            </w:r>
          </w:p>
        </w:tc>
      </w:tr>
      <w:tr>
        <w:tc>
          <w:tcPr>
            <w:tcW w:type="dxa" w:w="2419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6"/>
                <w:szCs w:val="16"/>
              </w:rPr>
              <w:t xml:space="preserve">Problems Addressed</w:t>
            </w:r>
          </w:p>
        </w:tc>
        <w:tc>
          <w:tcPr>
            <w:tcW w:type="dxa" w:w="7661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Without this Work Package, users must actively check the platform for updates; events from Tasks, Workflow, and Approvals would otherwise go unnoticed.</w:t>
            </w:r>
          </w:p>
        </w:tc>
      </w:tr>
    </w:tbl>
    <w:p>
      <w:pPr>
        <w:pStyle w:val="Heading1"/>
        <w:pBdr>
          <w:bottom w:val="single" w:color="D3D7DC" w:sz="4" w:space="4"/>
        </w:pBdr>
        <w:spacing w:after="140" w:before="360"/>
      </w:pPr>
      <w:r>
        <w:rPr>
          <w:b/>
          <w:bCs/>
          <w:color w:val="B23A48"/>
          <w:sz w:val="26"/>
          <w:szCs w:val="26"/>
        </w:rPr>
        <w:t xml:space="preserve">3  </w:t>
      </w:r>
      <w:r>
        <w:rPr>
          <w:b/>
          <w:bCs/>
          <w:color w:val="2E3440"/>
          <w:sz w:val="26"/>
          <w:szCs w:val="26"/>
        </w:rPr>
        <w:t xml:space="preserve">Scope</w:t>
      </w:r>
    </w:p>
    <w:p>
      <w:pPr>
        <w:spacing w:after="90" w:before="180"/>
      </w:pPr>
      <w:r>
        <w:rPr>
          <w:b/>
          <w:bCs/>
          <w:color w:val="1A1D21"/>
          <w:sz w:val="19"/>
          <w:szCs w:val="19"/>
        </w:rPr>
        <w:t xml:space="preserve">In Scope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Release 1 (thin slice): system-level alerts only (e.g., account-related notifications from WP-04), delivered via a single channel (in-app or email) — no preference management.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Release 4 (full): full Notification Center (in-app inbox), multi-channel delivery (in-app, email), user-configurable preferences, subscription to Task/Workflow/Approval events.</w:t>
      </w:r>
    </w:p>
    <w:p>
      <w:pPr>
        <w:spacing w:after="90" w:before="180"/>
      </w:pPr>
      <w:r>
        <w:rPr>
          <w:b/>
          <w:bCs/>
          <w:color w:val="1A1D21"/>
          <w:sz w:val="19"/>
          <w:szCs w:val="19"/>
        </w:rPr>
        <w:t xml:space="preserve">Out of Scope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SMS or push notification channels (not in current SRS scope).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Public-facing notification subscriptions (WP-22's own concern, if any, is scoped separately).</w:t>
      </w:r>
    </w:p>
    <w:p>
      <w:pPr>
        <w:spacing w:after="90" w:before="180"/>
      </w:pPr>
      <w:r>
        <w:rPr>
          <w:b/>
          <w:bCs/>
          <w:color w:val="1A1D21"/>
          <w:sz w:val="19"/>
          <w:szCs w:val="19"/>
        </w:rPr>
        <w:t xml:space="preserve">Assumptions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The Release 1 thin slice requires only WP-04 (a source of account events); the Release 4 full build requires WP-09, WP-10, and WP-11 to be live as event sources.</w:t>
      </w:r>
    </w:p>
    <w:p>
      <w:pPr>
        <w:spacing w:after="90" w:before="180"/>
      </w:pPr>
      <w:r>
        <w:rPr>
          <w:b/>
          <w:bCs/>
          <w:color w:val="1A1D21"/>
          <w:sz w:val="19"/>
          <w:szCs w:val="19"/>
        </w:rPr>
        <w:t xml:space="preserve">Constraints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Notification delivery must not become a single point of failure for the modules that emit events — an event source must never block on notification delivery succeeding.</w:t>
      </w:r>
    </w:p>
    <w:p>
      <w:pPr>
        <w:pStyle w:val="Heading1"/>
        <w:pBdr>
          <w:bottom w:val="single" w:color="D3D7DC" w:sz="4" w:space="4"/>
        </w:pBdr>
        <w:spacing w:after="140" w:before="360"/>
      </w:pPr>
      <w:r>
        <w:rPr>
          <w:b/>
          <w:bCs/>
          <w:color w:val="B23A48"/>
          <w:sz w:val="26"/>
          <w:szCs w:val="26"/>
        </w:rPr>
        <w:t xml:space="preserve">4  </w:t>
      </w:r>
      <w:r>
        <w:rPr>
          <w:b/>
          <w:bCs/>
          <w:color w:val="2E3440"/>
          <w:sz w:val="26"/>
          <w:szCs w:val="26"/>
        </w:rPr>
        <w:t xml:space="preserve">Requirements Traceability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10"/>
        <w:gridCol w:w="3024"/>
        <w:gridCol w:w="1411"/>
        <w:gridCol w:w="1008"/>
        <w:gridCol w:w="3427"/>
      </w:tblGrid>
      <w:tr>
        <w:trPr>
          <w:tblHeader/>
        </w:trPr>
        <w:tc>
          <w:tcPr>
            <w:tcW w:type="dxa" w:w="1210"/>
            <w:shd w:fill="2E344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Req ID</w:t>
            </w:r>
          </w:p>
        </w:tc>
        <w:tc>
          <w:tcPr>
            <w:tcW w:type="dxa" w:w="3024"/>
            <w:shd w:fill="2E344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Description</w:t>
            </w:r>
          </w:p>
        </w:tc>
        <w:tc>
          <w:tcPr>
            <w:tcW w:type="dxa" w:w="1411"/>
            <w:shd w:fill="2E344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Source</w:t>
            </w:r>
          </w:p>
        </w:tc>
        <w:tc>
          <w:tcPr>
            <w:tcW w:type="dxa" w:w="1008"/>
            <w:shd w:fill="2E344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Priority</w:t>
            </w:r>
          </w:p>
        </w:tc>
        <w:tc>
          <w:tcPr>
            <w:tcW w:type="dxa" w:w="3427"/>
            <w:shd w:fill="2E344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Acceptance Criteria</w:t>
            </w:r>
          </w:p>
        </w:tc>
      </w:tr>
      <w:tr>
        <w:tc>
          <w:tcPr>
            <w:tcW w:type="dxa" w:w="121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3"/>
                <w:szCs w:val="13"/>
              </w:rPr>
              <w:t xml:space="preserve">FR-NOT-01</w:t>
            </w:r>
          </w:p>
        </w:tc>
        <w:tc>
          <w:tcPr>
            <w:tcW w:type="dxa" w:w="302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The platform must deliver system-level alerts to users from Release 1 onward.</w:t>
            </w:r>
          </w:p>
        </w:tc>
        <w:tc>
          <w:tcPr>
            <w:tcW w:type="dxa" w:w="1411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ERS Part 1, Section 1.7</w:t>
            </w:r>
          </w:p>
        </w:tc>
        <w:tc>
          <w:tcPr>
            <w:tcW w:type="dxa" w:w="100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Must Have</w:t>
            </w:r>
          </w:p>
        </w:tc>
        <w:tc>
          <w:tcPr>
            <w:tcW w:type="dxa" w:w="3427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An account-related event (e.g., password reset) generates a delivered notification in the Release 1 thin slice.</w:t>
            </w:r>
          </w:p>
        </w:tc>
      </w:tr>
      <w:tr>
        <w:tc>
          <w:tcPr>
            <w:tcW w:type="dxa" w:w="121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3"/>
                <w:szCs w:val="13"/>
              </w:rPr>
              <w:t xml:space="preserve">FR-NOT-02</w:t>
            </w:r>
          </w:p>
        </w:tc>
        <w:tc>
          <w:tcPr>
            <w:tcW w:type="dxa" w:w="302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The platform must provide an in-app Notification Center (Release 4).</w:t>
            </w:r>
          </w:p>
        </w:tc>
        <w:tc>
          <w:tcPr>
            <w:tcW w:type="dxa" w:w="1411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SRS Part 17</w:t>
            </w:r>
          </w:p>
        </w:tc>
        <w:tc>
          <w:tcPr>
            <w:tcW w:type="dxa" w:w="100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Must Have</w:t>
            </w:r>
          </w:p>
        </w:tc>
        <w:tc>
          <w:tcPr>
            <w:tcW w:type="dxa" w:w="3427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A user can view, mark read, and clear notifications in a dedicated inbox.</w:t>
            </w:r>
          </w:p>
        </w:tc>
      </w:tr>
      <w:tr>
        <w:tc>
          <w:tcPr>
            <w:tcW w:type="dxa" w:w="121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3"/>
                <w:szCs w:val="13"/>
              </w:rPr>
              <w:t xml:space="preserve">FR-NOT-03</w:t>
            </w:r>
          </w:p>
        </w:tc>
        <w:tc>
          <w:tcPr>
            <w:tcW w:type="dxa" w:w="302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Users must be able to configure their notification preferences (Release 4).</w:t>
            </w:r>
          </w:p>
        </w:tc>
        <w:tc>
          <w:tcPr>
            <w:tcW w:type="dxa" w:w="1411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SRS Part 17</w:t>
            </w:r>
          </w:p>
        </w:tc>
        <w:tc>
          <w:tcPr>
            <w:tcW w:type="dxa" w:w="100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Should Have</w:t>
            </w:r>
          </w:p>
        </w:tc>
        <w:tc>
          <w:tcPr>
            <w:tcW w:type="dxa" w:w="3427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A user can opt in/out of specific notification categories and channels.</w:t>
            </w:r>
          </w:p>
        </w:tc>
      </w:tr>
      <w:tr>
        <w:tc>
          <w:tcPr>
            <w:tcW w:type="dxa" w:w="121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3"/>
                <w:szCs w:val="13"/>
              </w:rPr>
              <w:t xml:space="preserve">NFR-NOT-01</w:t>
            </w:r>
          </w:p>
        </w:tc>
        <w:tc>
          <w:tcPr>
            <w:tcW w:type="dxa" w:w="302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Notification dispatch must not block the emitting module's own operation.</w:t>
            </w:r>
          </w:p>
        </w:tc>
        <w:tc>
          <w:tcPr>
            <w:tcW w:type="dxa" w:w="1411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SRS Part 17</w:t>
            </w:r>
          </w:p>
        </w:tc>
        <w:tc>
          <w:tcPr>
            <w:tcW w:type="dxa" w:w="100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Must Have</w:t>
            </w:r>
          </w:p>
        </w:tc>
        <w:tc>
          <w:tcPr>
            <w:tcW w:type="dxa" w:w="3427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Event emission is asynchronous; a notification delivery failure does not roll back or delay the originating action.</w:t>
            </w:r>
          </w:p>
        </w:tc>
      </w:tr>
    </w:tbl>
    <w:p>
      <w:pPr>
        <w:pStyle w:val="Heading1"/>
        <w:pBdr>
          <w:bottom w:val="single" w:color="D3D7DC" w:sz="4" w:space="4"/>
        </w:pBdr>
        <w:spacing w:after="140" w:before="360"/>
      </w:pPr>
      <w:r>
        <w:rPr>
          <w:b/>
          <w:bCs/>
          <w:color w:val="B23A48"/>
          <w:sz w:val="26"/>
          <w:szCs w:val="26"/>
        </w:rPr>
        <w:t xml:space="preserve">5  </w:t>
      </w:r>
      <w:r>
        <w:rPr>
          <w:b/>
          <w:bCs/>
          <w:color w:val="2E3440"/>
          <w:sz w:val="26"/>
          <w:szCs w:val="26"/>
        </w:rPr>
        <w:t xml:space="preserve">Functional Specification</w:t>
      </w:r>
    </w:p>
    <w:p>
      <w:pPr>
        <w:spacing w:after="90" w:before="180"/>
      </w:pPr>
      <w:r>
        <w:rPr>
          <w:b/>
          <w:bCs/>
          <w:color w:val="1A1D21"/>
          <w:sz w:val="19"/>
          <w:szCs w:val="19"/>
        </w:rPr>
        <w:t xml:space="preserve">Features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Release 1: system-alert dispatch (single channel).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Release 4: Notification Center, multi-channel delivery, preference management, subscription to Task/Workflow/Approval events.</w:t>
      </w:r>
    </w:p>
    <w:p>
      <w:pPr>
        <w:spacing w:after="90" w:before="180"/>
      </w:pPr>
      <w:r>
        <w:rPr>
          <w:b/>
          <w:bCs/>
          <w:color w:val="1A1D21"/>
          <w:sz w:val="19"/>
          <w:szCs w:val="19"/>
        </w:rPr>
        <w:t xml:space="preserve">User Stories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As a user, I receive an alert when my account is affected by an administrative action.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As a user (Release 4), I see a notification when a task is assigned to me or an item awaits my approval.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As a user (Release 4), I can turn off email notifications for low-priority categories while keeping in-app alerts.</w:t>
      </w:r>
    </w:p>
    <w:p>
      <w:pPr>
        <w:spacing w:after="90" w:before="180"/>
      </w:pPr>
      <w:r>
        <w:rPr>
          <w:b/>
          <w:bCs/>
          <w:color w:val="1A1D21"/>
          <w:sz w:val="19"/>
          <w:szCs w:val="19"/>
        </w:rPr>
        <w:t xml:space="preserve">Business Rules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Notification delivery is best-effort and asynchronous; it is never a precondition for the success of the action that triggered it.</w:t>
      </w:r>
    </w:p>
    <w:p>
      <w:pPr>
        <w:spacing w:after="90" w:before="180"/>
      </w:pPr>
      <w:r>
        <w:rPr>
          <w:b/>
          <w:bCs/>
          <w:color w:val="1A1D21"/>
          <w:sz w:val="19"/>
          <w:szCs w:val="19"/>
        </w:rPr>
        <w:t xml:space="preserve">Validation Rules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A notification preference change takes effect on the next generated notification, not retroactively.</w:t>
      </w:r>
    </w:p>
    <w:p>
      <w:pPr>
        <w:spacing w:after="90" w:before="180"/>
      </w:pPr>
      <w:r>
        <w:rPr>
          <w:b/>
          <w:bCs/>
          <w:color w:val="1A1D21"/>
          <w:sz w:val="19"/>
          <w:szCs w:val="19"/>
        </w:rPr>
        <w:t xml:space="preserve">Workflows</w:t>
      </w:r>
    </w:p>
    <w:p>
      <w:pPr>
        <w:spacing w:after="150" w:line="276"/>
        <w:jc w:val="both"/>
      </w:pPr>
      <w:r>
        <w:t xml:space="preserve">A module emits an event (e.g., workflow.stage.advanced) → the notification service consumes it asynchronously → resolves the intended recipient(s) and their channel preferences (Release 4) → dispatches the notification → the recipient sees it in-app and/or via email.</w:t>
      </w:r>
    </w:p>
    <w:p>
      <w:pPr>
        <w:spacing w:after="90" w:before="180"/>
      </w:pPr>
      <w:r>
        <w:rPr>
          <w:b/>
          <w:bCs/>
          <w:color w:val="1A1D21"/>
          <w:sz w:val="19"/>
          <w:szCs w:val="19"/>
        </w:rPr>
        <w:t xml:space="preserve">Error Scenarios &amp; Exception Handling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Email delivery failure: retried with backoff; in-app notification is unaffected and still delivered.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Recipient has no valid delivery channel configured: notification is still recorded in-app as a fallback.</w:t>
      </w:r>
    </w:p>
    <w:p>
      <w:pPr>
        <w:pStyle w:val="Heading1"/>
        <w:pBdr>
          <w:bottom w:val="single" w:color="D3D7DC" w:sz="4" w:space="4"/>
        </w:pBdr>
        <w:spacing w:after="140" w:before="360"/>
      </w:pPr>
      <w:r>
        <w:rPr>
          <w:b/>
          <w:bCs/>
          <w:color w:val="B23A48"/>
          <w:sz w:val="26"/>
          <w:szCs w:val="26"/>
        </w:rPr>
        <w:t xml:space="preserve">6  </w:t>
      </w:r>
      <w:r>
        <w:rPr>
          <w:b/>
          <w:bCs/>
          <w:color w:val="2E3440"/>
          <w:sz w:val="26"/>
          <w:szCs w:val="26"/>
        </w:rPr>
        <w:t xml:space="preserve">Technical Specification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18"/>
        <w:gridCol w:w="7862"/>
      </w:tblGrid>
      <w:tr>
        <w:trPr>
          <w:tblHeader/>
        </w:trPr>
        <w:tc>
          <w:tcPr>
            <w:tcW w:type="dxa" w:w="2218"/>
            <w:shd w:fill="2E344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Element</w:t>
            </w:r>
          </w:p>
        </w:tc>
        <w:tc>
          <w:tcPr>
            <w:tcW w:type="dxa" w:w="7862"/>
            <w:shd w:fill="2E344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Detail</w:t>
            </w:r>
          </w:p>
        </w:tc>
      </w:tr>
      <w:tr>
        <w:tc>
          <w:tcPr>
            <w:tcW w:type="dxa" w:w="221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5"/>
                <w:szCs w:val="15"/>
              </w:rPr>
              <w:t xml:space="preserve">Architecture References</w:t>
            </w:r>
          </w:p>
        </w:tc>
        <w:tc>
          <w:tcPr>
            <w:tcW w:type="dxa" w:w="7862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SRS Part 17; SRS Part 26 (Notification Catalogue).</w:t>
            </w:r>
          </w:p>
        </w:tc>
      </w:tr>
      <w:tr>
        <w:tc>
          <w:tcPr>
            <w:tcW w:type="dxa" w:w="221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5"/>
                <w:szCs w:val="15"/>
              </w:rPr>
              <w:t xml:space="preserve">Components</w:t>
            </w:r>
          </w:p>
        </w:tc>
        <w:tc>
          <w:tcPr>
            <w:tcW w:type="dxa" w:w="7862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Notification dispatch service, in-app notification store (Release 4), preference service (Release 4).</w:t>
            </w:r>
          </w:p>
        </w:tc>
      </w:tr>
      <w:tr>
        <w:tc>
          <w:tcPr>
            <w:tcW w:type="dxa" w:w="221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5"/>
                <w:szCs w:val="15"/>
              </w:rPr>
              <w:t xml:space="preserve">Services</w:t>
            </w:r>
          </w:p>
        </w:tc>
        <w:tc>
          <w:tcPr>
            <w:tcW w:type="dxa" w:w="7862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Event-consuming notification service, subscribed to events from WP-04 (Release 1) and WP-09/10/11 (Release 4).</w:t>
            </w:r>
          </w:p>
        </w:tc>
      </w:tr>
      <w:tr>
        <w:tc>
          <w:tcPr>
            <w:tcW w:type="dxa" w:w="221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5"/>
                <w:szCs w:val="15"/>
              </w:rPr>
              <w:t xml:space="preserve">Database Entities</w:t>
            </w:r>
          </w:p>
        </w:tc>
        <w:tc>
          <w:tcPr>
            <w:tcW w:type="dxa" w:w="7862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notifications, notification_preferences (Release 4).</w:t>
            </w:r>
          </w:p>
        </w:tc>
      </w:tr>
      <w:tr>
        <w:tc>
          <w:tcPr>
            <w:tcW w:type="dxa" w:w="221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5"/>
                <w:szCs w:val="15"/>
              </w:rPr>
              <w:t xml:space="preserve">Events</w:t>
            </w:r>
          </w:p>
        </w:tc>
        <w:tc>
          <w:tcPr>
            <w:tcW w:type="dxa" w:w="7862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notification.dispatched, notification.read.</w:t>
            </w:r>
          </w:p>
        </w:tc>
      </w:tr>
      <w:tr>
        <w:tc>
          <w:tcPr>
            <w:tcW w:type="dxa" w:w="221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5"/>
                <w:szCs w:val="15"/>
              </w:rPr>
              <w:t xml:space="preserve">Background Jobs</w:t>
            </w:r>
          </w:p>
        </w:tc>
        <w:tc>
          <w:tcPr>
            <w:tcW w:type="dxa" w:w="7862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Email-delivery retry worker.</w:t>
            </w:r>
          </w:p>
        </w:tc>
      </w:tr>
      <w:tr>
        <w:tc>
          <w:tcPr>
            <w:tcW w:type="dxa" w:w="221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5"/>
                <w:szCs w:val="15"/>
              </w:rPr>
              <w:t xml:space="preserve">Configuration</w:t>
            </w:r>
          </w:p>
        </w:tc>
        <w:tc>
          <w:tcPr>
            <w:tcW w:type="dxa" w:w="7862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Notification category taxonomy; default channel per category.</w:t>
            </w:r>
          </w:p>
        </w:tc>
      </w:tr>
      <w:tr>
        <w:tc>
          <w:tcPr>
            <w:tcW w:type="dxa" w:w="221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5"/>
                <w:szCs w:val="15"/>
              </w:rPr>
              <w:t xml:space="preserve">Feature Flags</w:t>
            </w:r>
          </w:p>
        </w:tc>
        <w:tc>
          <w:tcPr>
            <w:tcW w:type="dxa" w:w="7862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notification-preferences flag, toggled on in Release 4.</w:t>
            </w:r>
          </w:p>
        </w:tc>
      </w:tr>
    </w:tbl>
    <w:p>
      <w:pPr>
        <w:pStyle w:val="Heading1"/>
        <w:pBdr>
          <w:bottom w:val="single" w:color="D3D7DC" w:sz="4" w:space="4"/>
        </w:pBdr>
        <w:spacing w:after="140" w:before="360"/>
      </w:pPr>
      <w:r>
        <w:rPr>
          <w:b/>
          <w:bCs/>
          <w:color w:val="B23A48"/>
          <w:sz w:val="26"/>
          <w:szCs w:val="26"/>
        </w:rPr>
        <w:t xml:space="preserve">7  </w:t>
      </w:r>
      <w:r>
        <w:rPr>
          <w:b/>
          <w:bCs/>
          <w:color w:val="2E3440"/>
          <w:sz w:val="26"/>
          <w:szCs w:val="26"/>
        </w:rPr>
        <w:t xml:space="preserve">User Interface</w:t>
      </w:r>
    </w:p>
    <w:p>
      <w:pPr>
        <w:spacing w:after="150" w:line="276"/>
        <w:jc w:val="both"/>
      </w:pPr>
      <w:r>
        <w:t xml:space="preserve">Release 1 (thin slice): no dedicated UI — alerts delivered via email only. Release 4 (full) introduces: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19"/>
        <w:gridCol w:w="3629"/>
        <w:gridCol w:w="4032"/>
      </w:tblGrid>
      <w:tr>
        <w:trPr>
          <w:tblHeader/>
        </w:trPr>
        <w:tc>
          <w:tcPr>
            <w:tcW w:type="dxa" w:w="2419"/>
            <w:shd w:fill="2E344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Screen</w:t>
            </w:r>
          </w:p>
        </w:tc>
        <w:tc>
          <w:tcPr>
            <w:tcW w:type="dxa" w:w="3629"/>
            <w:shd w:fill="2E344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Purpose</w:t>
            </w:r>
          </w:p>
        </w:tc>
        <w:tc>
          <w:tcPr>
            <w:tcW w:type="dxa" w:w="4032"/>
            <w:shd w:fill="2E344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Key Interactions</w:t>
            </w:r>
          </w:p>
        </w:tc>
      </w:tr>
      <w:tr>
        <w:tc>
          <w:tcPr>
            <w:tcW w:type="dxa" w:w="2419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3"/>
                <w:szCs w:val="13"/>
              </w:rPr>
              <w:t xml:space="preserve">Notification Center</w:t>
            </w:r>
          </w:p>
        </w:tc>
        <w:tc>
          <w:tcPr>
            <w:tcW w:type="dxa" w:w="3629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In-app inbox of notifications.</w:t>
            </w:r>
          </w:p>
        </w:tc>
        <w:tc>
          <w:tcPr>
            <w:tcW w:type="dxa" w:w="4032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Mark read, clear, filter by category.</w:t>
            </w:r>
          </w:p>
        </w:tc>
      </w:tr>
      <w:tr>
        <w:tc>
          <w:tcPr>
            <w:tcW w:type="dxa" w:w="2419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3"/>
                <w:szCs w:val="13"/>
              </w:rPr>
              <w:t xml:space="preserve">Notification Preferences</w:t>
            </w:r>
          </w:p>
        </w:tc>
        <w:tc>
          <w:tcPr>
            <w:tcW w:type="dxa" w:w="3629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Configure delivery channel per category.</w:t>
            </w:r>
          </w:p>
        </w:tc>
        <w:tc>
          <w:tcPr>
            <w:tcW w:type="dxa" w:w="4032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Toggle in-app/email per category.</w:t>
            </w:r>
          </w:p>
        </w:tc>
      </w:tr>
    </w:tbl>
    <w:p>
      <w:pPr>
        <w:pStyle w:val="Heading1"/>
        <w:pBdr>
          <w:bottom w:val="single" w:color="D3D7DC" w:sz="4" w:space="4"/>
        </w:pBdr>
        <w:spacing w:after="140" w:before="360"/>
      </w:pPr>
      <w:r>
        <w:rPr>
          <w:b/>
          <w:bCs/>
          <w:color w:val="B23A48"/>
          <w:sz w:val="26"/>
          <w:szCs w:val="26"/>
        </w:rPr>
        <w:t xml:space="preserve">8  </w:t>
      </w:r>
      <w:r>
        <w:rPr>
          <w:b/>
          <w:bCs/>
          <w:color w:val="2E3440"/>
          <w:sz w:val="26"/>
          <w:szCs w:val="26"/>
        </w:rPr>
        <w:t xml:space="preserve">API Specification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22"/>
        <w:gridCol w:w="1613"/>
        <w:gridCol w:w="3427"/>
        <w:gridCol w:w="2218"/>
      </w:tblGrid>
      <w:tr>
        <w:trPr>
          <w:tblHeader/>
        </w:trPr>
        <w:tc>
          <w:tcPr>
            <w:tcW w:type="dxa" w:w="2822"/>
            <w:shd w:fill="2E344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Endpoint</w:t>
            </w:r>
          </w:p>
        </w:tc>
        <w:tc>
          <w:tcPr>
            <w:tcW w:type="dxa" w:w="1613"/>
            <w:shd w:fill="2E344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Method</w:t>
            </w:r>
          </w:p>
        </w:tc>
        <w:tc>
          <w:tcPr>
            <w:tcW w:type="dxa" w:w="3427"/>
            <w:shd w:fill="2E344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Purpose</w:t>
            </w:r>
          </w:p>
        </w:tc>
        <w:tc>
          <w:tcPr>
            <w:tcW w:type="dxa" w:w="2218"/>
            <w:shd w:fill="2E344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Auth</w:t>
            </w:r>
          </w:p>
        </w:tc>
      </w:tr>
      <w:tr>
        <w:tc>
          <w:tcPr>
            <w:tcW w:type="dxa" w:w="2822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3"/>
                <w:szCs w:val="13"/>
              </w:rPr>
              <w:t xml:space="preserve">/api/v1/notifications</w:t>
            </w:r>
          </w:p>
        </w:tc>
        <w:tc>
          <w:tcPr>
            <w:tcW w:type="dxa" w:w="1613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GET</w:t>
            </w:r>
          </w:p>
        </w:tc>
        <w:tc>
          <w:tcPr>
            <w:tcW w:type="dxa" w:w="3427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List the current user's notifications.</w:t>
            </w:r>
          </w:p>
        </w:tc>
        <w:tc>
          <w:tcPr>
            <w:tcW w:type="dxa" w:w="221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Access token</w:t>
            </w:r>
          </w:p>
        </w:tc>
      </w:tr>
      <w:tr>
        <w:tc>
          <w:tcPr>
            <w:tcW w:type="dxa" w:w="2822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3"/>
                <w:szCs w:val="13"/>
              </w:rPr>
              <w:t xml:space="preserve">/api/v1/notifications/{id}/read</w:t>
            </w:r>
          </w:p>
        </w:tc>
        <w:tc>
          <w:tcPr>
            <w:tcW w:type="dxa" w:w="1613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POST</w:t>
            </w:r>
          </w:p>
        </w:tc>
        <w:tc>
          <w:tcPr>
            <w:tcW w:type="dxa" w:w="3427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Mark a notification read.</w:t>
            </w:r>
          </w:p>
        </w:tc>
        <w:tc>
          <w:tcPr>
            <w:tcW w:type="dxa" w:w="221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Access token, owner</w:t>
            </w:r>
          </w:p>
        </w:tc>
      </w:tr>
      <w:tr>
        <w:tc>
          <w:tcPr>
            <w:tcW w:type="dxa" w:w="2822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3"/>
                <w:szCs w:val="13"/>
              </w:rPr>
              <w:t xml:space="preserve">/api/v1/notifications/preferences</w:t>
            </w:r>
          </w:p>
        </w:tc>
        <w:tc>
          <w:tcPr>
            <w:tcW w:type="dxa" w:w="1613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GET / PATCH</w:t>
            </w:r>
          </w:p>
        </w:tc>
        <w:tc>
          <w:tcPr>
            <w:tcW w:type="dxa" w:w="3427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View / update notification preferences (Release 4).</w:t>
            </w:r>
          </w:p>
        </w:tc>
        <w:tc>
          <w:tcPr>
            <w:tcW w:type="dxa" w:w="221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Access token</w:t>
            </w:r>
          </w:p>
        </w:tc>
      </w:tr>
    </w:tbl>
    <w:p>
      <w:pPr>
        <w:pStyle w:val="Heading1"/>
        <w:pBdr>
          <w:bottom w:val="single" w:color="D3D7DC" w:sz="4" w:space="4"/>
        </w:pBdr>
        <w:spacing w:after="140" w:before="360"/>
      </w:pPr>
      <w:r>
        <w:rPr>
          <w:b/>
          <w:bCs/>
          <w:color w:val="B23A48"/>
          <w:sz w:val="26"/>
          <w:szCs w:val="26"/>
        </w:rPr>
        <w:t xml:space="preserve">9  </w:t>
      </w:r>
      <w:r>
        <w:rPr>
          <w:b/>
          <w:bCs/>
          <w:color w:val="2E3440"/>
          <w:sz w:val="26"/>
          <w:szCs w:val="26"/>
        </w:rPr>
        <w:t xml:space="preserve">Database Specification</w:t>
      </w:r>
    </w:p>
    <w:p>
      <w:pPr>
        <w:spacing w:after="150" w:line="276"/>
        <w:jc w:val="both"/>
      </w:pPr>
      <w:r>
        <w:t xml:space="preserve">Release 1 introduces notifications (recipient_id, category, message, delivered_at, channel). Release 4 adds notification_preferences (user_id, category, channel, enabled). Both organization-scoped and audited per WP-01 convention.</w:t>
      </w:r>
    </w:p>
    <w:p>
      <w:pPr>
        <w:pStyle w:val="Heading1"/>
        <w:pBdr>
          <w:bottom w:val="single" w:color="D3D7DC" w:sz="4" w:space="4"/>
        </w:pBdr>
        <w:spacing w:after="140" w:before="360"/>
      </w:pPr>
      <w:r>
        <w:rPr>
          <w:b/>
          <w:bCs/>
          <w:color w:val="B23A48"/>
          <w:sz w:val="26"/>
          <w:szCs w:val="26"/>
        </w:rPr>
        <w:t xml:space="preserve">10  </w:t>
      </w:r>
      <w:r>
        <w:rPr>
          <w:b/>
          <w:bCs/>
          <w:color w:val="2E3440"/>
          <w:sz w:val="26"/>
          <w:szCs w:val="26"/>
        </w:rPr>
        <w:t xml:space="preserve">Security Requirements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16"/>
        <w:gridCol w:w="8064"/>
      </w:tblGrid>
      <w:tr>
        <w:trPr>
          <w:tblHeader/>
        </w:trPr>
        <w:tc>
          <w:tcPr>
            <w:tcW w:type="dxa" w:w="2016"/>
            <w:shd w:fill="2E344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Control</w:t>
            </w:r>
          </w:p>
        </w:tc>
        <w:tc>
          <w:tcPr>
            <w:tcW w:type="dxa" w:w="8064"/>
            <w:shd w:fill="2E344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Requirement</w:t>
            </w:r>
          </w:p>
        </w:tc>
      </w:tr>
      <w:tr>
        <w:tc>
          <w:tcPr>
            <w:tcW w:type="dxa" w:w="201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5"/>
                <w:szCs w:val="15"/>
              </w:rPr>
              <w:t xml:space="preserve">Authentication</w:t>
            </w:r>
          </w:p>
        </w:tc>
        <w:tc>
          <w:tcPr>
            <w:tcW w:type="dxa" w:w="806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WP-02 access token required.</w:t>
            </w:r>
          </w:p>
        </w:tc>
      </w:tr>
      <w:tr>
        <w:tc>
          <w:tcPr>
            <w:tcW w:type="dxa" w:w="201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5"/>
                <w:szCs w:val="15"/>
              </w:rPr>
              <w:t xml:space="preserve">Authorization</w:t>
            </w:r>
          </w:p>
        </w:tc>
        <w:tc>
          <w:tcPr>
            <w:tcW w:type="dxa" w:w="806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A user may only view/manage their own notifications and preferences.</w:t>
            </w:r>
          </w:p>
        </w:tc>
      </w:tr>
      <w:tr>
        <w:tc>
          <w:tcPr>
            <w:tcW w:type="dxa" w:w="201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5"/>
                <w:szCs w:val="15"/>
              </w:rPr>
              <w:t xml:space="preserve">RBAC / ABAC</w:t>
            </w:r>
          </w:p>
        </w:tc>
        <w:tc>
          <w:tcPr>
            <w:tcW w:type="dxa" w:w="806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Not applicable beyond owner-scoped access.</w:t>
            </w:r>
          </w:p>
        </w:tc>
      </w:tr>
      <w:tr>
        <w:tc>
          <w:tcPr>
            <w:tcW w:type="dxa" w:w="201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5"/>
                <w:szCs w:val="15"/>
              </w:rPr>
              <w:t xml:space="preserve">Encryption</w:t>
            </w:r>
          </w:p>
        </w:tc>
        <w:tc>
          <w:tcPr>
            <w:tcW w:type="dxa" w:w="806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Standard WP-01 policy applies.</w:t>
            </w:r>
          </w:p>
        </w:tc>
      </w:tr>
      <w:tr>
        <w:tc>
          <w:tcPr>
            <w:tcW w:type="dxa" w:w="201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5"/>
                <w:szCs w:val="15"/>
              </w:rPr>
              <w:t xml:space="preserve">Audit Logging</w:t>
            </w:r>
          </w:p>
        </w:tc>
        <w:tc>
          <w:tcPr>
            <w:tcW w:type="dxa" w:w="806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Notification dispatch logged for delivery-diagnostics purposes; read/preference changes logged.</w:t>
            </w:r>
          </w:p>
        </w:tc>
      </w:tr>
      <w:tr>
        <w:tc>
          <w:tcPr>
            <w:tcW w:type="dxa" w:w="201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5"/>
                <w:szCs w:val="15"/>
              </w:rPr>
              <w:t xml:space="preserve">Compliance</w:t>
            </w:r>
          </w:p>
        </w:tc>
        <w:tc>
          <w:tcPr>
            <w:tcW w:type="dxa" w:w="806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Not applicable beyond standard platform data handling.</w:t>
            </w:r>
          </w:p>
        </w:tc>
      </w:tr>
      <w:tr>
        <w:tc>
          <w:tcPr>
            <w:tcW w:type="dxa" w:w="201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5"/>
                <w:szCs w:val="15"/>
              </w:rPr>
              <w:t xml:space="preserve">Privacy Controls</w:t>
            </w:r>
          </w:p>
        </w:tc>
        <w:tc>
          <w:tcPr>
            <w:tcW w:type="dxa" w:w="806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Notification content must not include data the recipient would not otherwise be authorized to see (e.g., an approval notification must not leak the full item content to an unauthorized recipient).</w:t>
            </w:r>
          </w:p>
        </w:tc>
      </w:tr>
    </w:tbl>
    <w:p>
      <w:pPr>
        <w:pStyle w:val="Heading1"/>
        <w:pBdr>
          <w:bottom w:val="single" w:color="D3D7DC" w:sz="4" w:space="4"/>
        </w:pBdr>
        <w:spacing w:after="140" w:before="360"/>
      </w:pPr>
      <w:r>
        <w:rPr>
          <w:b/>
          <w:bCs/>
          <w:color w:val="B23A48"/>
          <w:sz w:val="26"/>
          <w:szCs w:val="26"/>
        </w:rPr>
        <w:t xml:space="preserve">11  </w:t>
      </w:r>
      <w:r>
        <w:rPr>
          <w:b/>
          <w:bCs/>
          <w:color w:val="2E3440"/>
          <w:sz w:val="26"/>
          <w:szCs w:val="26"/>
        </w:rPr>
        <w:t xml:space="preserve">AI Components</w:t>
      </w:r>
    </w:p>
    <w:p>
      <w:pPr>
        <w:spacing w:after="150" w:line="276"/>
        <w:jc w:val="both"/>
      </w:pPr>
      <w:r>
        <w:t xml:space="preserve">Not applicable to WP-18.</w:t>
      </w:r>
    </w:p>
    <w:p>
      <w:pPr>
        <w:pStyle w:val="Heading1"/>
        <w:pBdr>
          <w:bottom w:val="single" w:color="D3D7DC" w:sz="4" w:space="4"/>
        </w:pBdr>
        <w:spacing w:after="140" w:before="360"/>
      </w:pPr>
      <w:r>
        <w:rPr>
          <w:b/>
          <w:bCs/>
          <w:color w:val="B23A48"/>
          <w:sz w:val="26"/>
          <w:szCs w:val="26"/>
        </w:rPr>
        <w:t xml:space="preserve">12  </w:t>
      </w:r>
      <w:r>
        <w:rPr>
          <w:b/>
          <w:bCs/>
          <w:color w:val="2E3440"/>
          <w:sz w:val="26"/>
          <w:szCs w:val="26"/>
        </w:rPr>
        <w:t xml:space="preserve">Integration Requirements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13"/>
        <w:gridCol w:w="8467"/>
      </w:tblGrid>
      <w:tr>
        <w:trPr>
          <w:tblHeader/>
        </w:trPr>
        <w:tc>
          <w:tcPr>
            <w:tcW w:type="dxa" w:w="1613"/>
            <w:shd w:fill="2E344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8467"/>
            <w:shd w:fill="2E344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Detail</w:t>
            </w:r>
          </w:p>
        </w:tc>
      </w:tr>
      <w:tr>
        <w:tc>
          <w:tcPr>
            <w:tcW w:type="dxa" w:w="1613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5"/>
                <w:szCs w:val="15"/>
              </w:rPr>
              <w:t xml:space="preserve">Internal</w:t>
            </w:r>
          </w:p>
        </w:tc>
        <w:tc>
          <w:tcPr>
            <w:tcW w:type="dxa" w:w="8467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Consumes events from WP-04 (Release 1) and WP-09, WP-10, WP-11 (Release 4).</w:t>
            </w:r>
          </w:p>
        </w:tc>
      </w:tr>
      <w:tr>
        <w:tc>
          <w:tcPr>
            <w:tcW w:type="dxa" w:w="1613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5"/>
                <w:szCs w:val="15"/>
              </w:rPr>
              <w:t xml:space="preserve">External</w:t>
            </w:r>
          </w:p>
        </w:tc>
        <w:tc>
          <w:tcPr>
            <w:tcW w:type="dxa" w:w="8467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Outbound transactional email service.</w:t>
            </w:r>
          </w:p>
        </w:tc>
      </w:tr>
      <w:tr>
        <w:tc>
          <w:tcPr>
            <w:tcW w:type="dxa" w:w="1613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5"/>
                <w:szCs w:val="15"/>
              </w:rPr>
              <w:t xml:space="preserve">Events</w:t>
            </w:r>
          </w:p>
        </w:tc>
        <w:tc>
          <w:tcPr>
            <w:tcW w:type="dxa" w:w="8467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notification.dispatched / notification.read (Section 6).</w:t>
            </w:r>
          </w:p>
        </w:tc>
      </w:tr>
      <w:tr>
        <w:tc>
          <w:tcPr>
            <w:tcW w:type="dxa" w:w="1613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5"/>
                <w:szCs w:val="15"/>
              </w:rPr>
              <w:t xml:space="preserve">Webhooks</w:t>
            </w:r>
          </w:p>
        </w:tc>
        <w:tc>
          <w:tcPr>
            <w:tcW w:type="dxa" w:w="8467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None owned directly.</w:t>
            </w:r>
          </w:p>
        </w:tc>
      </w:tr>
      <w:tr>
        <w:tc>
          <w:tcPr>
            <w:tcW w:type="dxa" w:w="1613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5"/>
                <w:szCs w:val="15"/>
              </w:rPr>
              <w:t xml:space="preserve">Batch Jobs</w:t>
            </w:r>
          </w:p>
        </w:tc>
        <w:tc>
          <w:tcPr>
            <w:tcW w:type="dxa" w:w="8467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Email-delivery retry worker (Section 6).</w:t>
            </w:r>
          </w:p>
        </w:tc>
      </w:tr>
    </w:tbl>
    <w:p>
      <w:pPr>
        <w:pStyle w:val="Heading1"/>
        <w:pBdr>
          <w:bottom w:val="single" w:color="D3D7DC" w:sz="4" w:space="4"/>
        </w:pBdr>
        <w:spacing w:after="140" w:before="360"/>
      </w:pPr>
      <w:r>
        <w:rPr>
          <w:b/>
          <w:bCs/>
          <w:color w:val="B23A48"/>
          <w:sz w:val="26"/>
          <w:szCs w:val="26"/>
        </w:rPr>
        <w:t xml:space="preserve">13  </w:t>
      </w:r>
      <w:r>
        <w:rPr>
          <w:b/>
          <w:bCs/>
          <w:color w:val="2E3440"/>
          <w:sz w:val="26"/>
          <w:szCs w:val="26"/>
        </w:rPr>
        <w:t xml:space="preserve">Testing Requirements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16"/>
        <w:gridCol w:w="8064"/>
      </w:tblGrid>
      <w:tr>
        <w:trPr>
          <w:tblHeader/>
        </w:trPr>
        <w:tc>
          <w:tcPr>
            <w:tcW w:type="dxa" w:w="2016"/>
            <w:shd w:fill="2E344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Test Type</w:t>
            </w:r>
          </w:p>
        </w:tc>
        <w:tc>
          <w:tcPr>
            <w:tcW w:type="dxa" w:w="8064"/>
            <w:shd w:fill="2E344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Coverage</w:t>
            </w:r>
          </w:p>
        </w:tc>
      </w:tr>
      <w:tr>
        <w:tc>
          <w:tcPr>
            <w:tcW w:type="dxa" w:w="201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5"/>
                <w:szCs w:val="15"/>
              </w:rPr>
              <w:t xml:space="preserve">Unit Tests</w:t>
            </w:r>
          </w:p>
        </w:tc>
        <w:tc>
          <w:tcPr>
            <w:tcW w:type="dxa" w:w="806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Recipient resolution logic; preference-matching logic (Release 4).</w:t>
            </w:r>
          </w:p>
        </w:tc>
      </w:tr>
      <w:tr>
        <w:tc>
          <w:tcPr>
            <w:tcW w:type="dxa" w:w="201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5"/>
                <w:szCs w:val="15"/>
              </w:rPr>
              <w:t xml:space="preserve">Integration Tests</w:t>
            </w:r>
          </w:p>
        </w:tc>
        <w:tc>
          <w:tcPr>
            <w:tcW w:type="dxa" w:w="806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Release 1: an account event generates a delivered email alert. Release 4: a task assignment or approval-pending event generates both in-app and (if enabled) email notifications.</w:t>
            </w:r>
          </w:p>
        </w:tc>
      </w:tr>
      <w:tr>
        <w:tc>
          <w:tcPr>
            <w:tcW w:type="dxa" w:w="201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5"/>
                <w:szCs w:val="15"/>
              </w:rPr>
              <w:t xml:space="preserve">API Tests</w:t>
            </w:r>
          </w:p>
        </w:tc>
        <w:tc>
          <w:tcPr>
            <w:tcW w:type="dxa" w:w="806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Contract tests for all Section 8 endpoints.</w:t>
            </w:r>
          </w:p>
        </w:tc>
      </w:tr>
      <w:tr>
        <w:tc>
          <w:tcPr>
            <w:tcW w:type="dxa" w:w="201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5"/>
                <w:szCs w:val="15"/>
              </w:rPr>
              <w:t xml:space="preserve">UI Tests</w:t>
            </w:r>
          </w:p>
        </w:tc>
        <w:tc>
          <w:tcPr>
            <w:tcW w:type="dxa" w:w="806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Notification Center and preferences screens (Release 4).</w:t>
            </w:r>
          </w:p>
        </w:tc>
      </w:tr>
      <w:tr>
        <w:tc>
          <w:tcPr>
            <w:tcW w:type="dxa" w:w="201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5"/>
                <w:szCs w:val="15"/>
              </w:rPr>
              <w:t xml:space="preserve">Security Tests</w:t>
            </w:r>
          </w:p>
        </w:tc>
        <w:tc>
          <w:tcPr>
            <w:tcW w:type="dxa" w:w="806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A user cannot view another user's notifications; notification content does not leak unauthorized data.</w:t>
            </w:r>
          </w:p>
        </w:tc>
      </w:tr>
      <w:tr>
        <w:tc>
          <w:tcPr>
            <w:tcW w:type="dxa" w:w="201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5"/>
                <w:szCs w:val="15"/>
              </w:rPr>
              <w:t xml:space="preserve">Performance Tests</w:t>
            </w:r>
          </w:p>
        </w:tc>
        <w:tc>
          <w:tcPr>
            <w:tcW w:type="dxa" w:w="806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Notification dispatch throughput under a realistic platform-wide event volume.</w:t>
            </w:r>
          </w:p>
        </w:tc>
      </w:tr>
      <w:tr>
        <w:tc>
          <w:tcPr>
            <w:tcW w:type="dxa" w:w="201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5"/>
                <w:szCs w:val="15"/>
              </w:rPr>
              <w:t xml:space="preserve">UAT Scenarios</w:t>
            </w:r>
          </w:p>
        </w:tc>
        <w:tc>
          <w:tcPr>
            <w:tcW w:type="dxa" w:w="806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Release 1: validated implicitly via WP-04. Release 4: UAT is implicit through the UAT of each event-emitting module (WP-09, WP-11).</w:t>
            </w:r>
          </w:p>
        </w:tc>
      </w:tr>
      <w:tr>
        <w:tc>
          <w:tcPr>
            <w:tcW w:type="dxa" w:w="201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5"/>
                <w:szCs w:val="15"/>
              </w:rPr>
              <w:t xml:space="preserve">Regression Tests</w:t>
            </w:r>
          </w:p>
        </w:tc>
        <w:tc>
          <w:tcPr>
            <w:tcW w:type="dxa" w:w="806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Full suite re-run whenever a new module begins emitting events this Work Package consumes.</w:t>
            </w:r>
          </w:p>
        </w:tc>
      </w:tr>
    </w:tbl>
    <w:p>
      <w:pPr>
        <w:pStyle w:val="Heading1"/>
        <w:pBdr>
          <w:bottom w:val="single" w:color="D3D7DC" w:sz="4" w:space="4"/>
        </w:pBdr>
        <w:spacing w:after="140" w:before="360"/>
      </w:pPr>
      <w:r>
        <w:rPr>
          <w:b/>
          <w:bCs/>
          <w:color w:val="B23A48"/>
          <w:sz w:val="26"/>
          <w:szCs w:val="26"/>
        </w:rPr>
        <w:t xml:space="preserve">14  </w:t>
      </w:r>
      <w:r>
        <w:rPr>
          <w:b/>
          <w:bCs/>
          <w:color w:val="2E3440"/>
          <w:sz w:val="26"/>
          <w:szCs w:val="26"/>
        </w:rPr>
        <w:t xml:space="preserve">Documentation Updates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User Guide: Notification Center and preferences usage (Release 4).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ADR: asynchronous, non-blocking dispatch architecture (NFR-NOT-01).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Traceability Matrix: FR-NOT-01/02/03, NFR-NOT-01 marked implemented.</w:t>
      </w:r>
    </w:p>
    <w:p>
      <w:pPr>
        <w:pStyle w:val="Heading1"/>
        <w:pBdr>
          <w:bottom w:val="single" w:color="D3D7DC" w:sz="4" w:space="4"/>
        </w:pBdr>
        <w:spacing w:after="140" w:before="360"/>
      </w:pPr>
      <w:r>
        <w:rPr>
          <w:b/>
          <w:bCs/>
          <w:color w:val="B23A48"/>
          <w:sz w:val="26"/>
          <w:szCs w:val="26"/>
        </w:rPr>
        <w:t xml:space="preserve">15  </w:t>
      </w:r>
      <w:r>
        <w:rPr>
          <w:b/>
          <w:bCs/>
          <w:color w:val="2E3440"/>
          <w:sz w:val="26"/>
          <w:szCs w:val="26"/>
        </w:rPr>
        <w:t xml:space="preserve">Deliverables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Source code: notification dispatch service, in-app store (Release 4), preference service (Release 4), Release 4 UI.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Configuration: category taxonomy, default channels.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Database migrations: notifications (Release 1); notification_preferences (Release 4).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Tests: full suite per Section 13.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Documentation: user guide, ADR, traceability matrix.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Deployment scripts: wired into WP-03's pipeline.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Monitoring configuration: dispatch-latency and delivery-failure-rate dashboards.</w:t>
      </w:r>
    </w:p>
    <w:p>
      <w:pPr>
        <w:pStyle w:val="Heading1"/>
        <w:pBdr>
          <w:bottom w:val="single" w:color="D3D7DC" w:sz="4" w:space="4"/>
        </w:pBdr>
        <w:spacing w:after="140" w:before="360"/>
      </w:pPr>
      <w:r>
        <w:rPr>
          <w:b/>
          <w:bCs/>
          <w:color w:val="B23A48"/>
          <w:sz w:val="26"/>
          <w:szCs w:val="26"/>
        </w:rPr>
        <w:t xml:space="preserve">16  </w:t>
      </w:r>
      <w:r>
        <w:rPr>
          <w:b/>
          <w:bCs/>
          <w:color w:val="2E3440"/>
          <w:sz w:val="26"/>
          <w:szCs w:val="26"/>
        </w:rPr>
        <w:t xml:space="preserve">Acceptance Criteria</w:t>
      </w:r>
    </w:p>
    <w:p>
      <w:pPr>
        <w:spacing w:after="90" w:line="264"/>
      </w:pPr>
      <w:r>
        <w:rPr>
          <w:b/>
          <w:bCs/>
          <w:color w:val="2E3440"/>
        </w:rPr>
        <w:t xml:space="preserve">1. </w:t>
      </w:r>
      <w:r>
        <w:t xml:space="preserve">An account-related event generates a delivered alert from Release 1 onward (FR-NOT-01).</w:t>
      </w:r>
    </w:p>
    <w:p>
      <w:pPr>
        <w:spacing w:after="90" w:line="264"/>
      </w:pPr>
      <w:r>
        <w:rPr>
          <w:b/>
          <w:bCs/>
          <w:color w:val="2E3440"/>
        </w:rPr>
        <w:t xml:space="preserve">2. </w:t>
      </w:r>
      <w:r>
        <w:t xml:space="preserve">A user can view, mark read, and clear notifications in the Release 4 Notification Center (FR-NOT-02).</w:t>
      </w:r>
    </w:p>
    <w:p>
      <w:pPr>
        <w:spacing w:after="90" w:line="264"/>
      </w:pPr>
      <w:r>
        <w:rPr>
          <w:b/>
          <w:bCs/>
          <w:color w:val="2E3440"/>
        </w:rPr>
        <w:t xml:space="preserve">3. </w:t>
      </w:r>
      <w:r>
        <w:t xml:space="preserve">A user can configure channel preferences per notification category (FR-NOT-03).</w:t>
      </w:r>
    </w:p>
    <w:p>
      <w:pPr>
        <w:spacing w:after="90" w:line="264"/>
      </w:pPr>
      <w:r>
        <w:rPr>
          <w:b/>
          <w:bCs/>
          <w:color w:val="2E3440"/>
        </w:rPr>
        <w:t xml:space="preserve">4. </w:t>
      </w:r>
      <w:r>
        <w:t xml:space="preserve">Notification dispatch failure never blocks or delays the emitting module's own operation, verified by explicit test (NFR-NOT-01).</w:t>
      </w:r>
    </w:p>
    <w:p>
      <w:pPr>
        <w:pStyle w:val="Heading1"/>
        <w:pBdr>
          <w:bottom w:val="single" w:color="D3D7DC" w:sz="4" w:space="4"/>
        </w:pBdr>
        <w:spacing w:after="140" w:before="360"/>
      </w:pPr>
      <w:r>
        <w:rPr>
          <w:b/>
          <w:bCs/>
          <w:color w:val="B23A48"/>
          <w:sz w:val="26"/>
          <w:szCs w:val="26"/>
        </w:rPr>
        <w:t xml:space="preserve">17  </w:t>
      </w:r>
      <w:r>
        <w:rPr>
          <w:b/>
          <w:bCs/>
          <w:color w:val="2E3440"/>
          <w:sz w:val="26"/>
          <w:szCs w:val="26"/>
        </w:rPr>
        <w:t xml:space="preserve">Definition of Ready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WP-04 closed (Release 1 requirement); WP-09, WP-10, WP-11 closed (Release 4 requirement).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SRS Parts 17 and 26 approved and unchanged since last review.</w:t>
      </w:r>
    </w:p>
    <w:p>
      <w:pPr>
        <w:pStyle w:val="Heading1"/>
        <w:pBdr>
          <w:bottom w:val="single" w:color="D3D7DC" w:sz="4" w:space="4"/>
        </w:pBdr>
        <w:spacing w:after="140" w:before="360"/>
      </w:pPr>
      <w:r>
        <w:rPr>
          <w:b/>
          <w:bCs/>
          <w:color w:val="B23A48"/>
          <w:sz w:val="26"/>
          <w:szCs w:val="26"/>
        </w:rPr>
        <w:t xml:space="preserve">18  </w:t>
      </w:r>
      <w:r>
        <w:rPr>
          <w:b/>
          <w:bCs/>
          <w:color w:val="2E3440"/>
          <w:sz w:val="26"/>
          <w:szCs w:val="26"/>
        </w:rPr>
        <w:t xml:space="preserve">Definition of Done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All Section 16 acceptance criteria met.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Peer review approved.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Traceability Matrix updated.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ADR recorded.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Definition of Done sign-off by Backend Lead and Product Owner.</w:t>
      </w:r>
    </w:p>
    <w:p>
      <w:pPr>
        <w:pStyle w:val="Heading1"/>
        <w:pBdr>
          <w:bottom w:val="single" w:color="D3D7DC" w:sz="4" w:space="4"/>
        </w:pBdr>
        <w:spacing w:after="140" w:before="360"/>
      </w:pPr>
      <w:r>
        <w:rPr>
          <w:b/>
          <w:bCs/>
          <w:color w:val="B23A48"/>
          <w:sz w:val="26"/>
          <w:szCs w:val="26"/>
        </w:rPr>
        <w:t xml:space="preserve">19  </w:t>
      </w:r>
      <w:r>
        <w:rPr>
          <w:b/>
          <w:bCs/>
          <w:color w:val="2E3440"/>
          <w:sz w:val="26"/>
          <w:szCs w:val="26"/>
        </w:rPr>
        <w:t xml:space="preserve">Risks &amp; Mitigations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27"/>
        <w:gridCol w:w="1411"/>
        <w:gridCol w:w="5242"/>
      </w:tblGrid>
      <w:tr>
        <w:trPr>
          <w:tblHeader/>
        </w:trPr>
        <w:tc>
          <w:tcPr>
            <w:tcW w:type="dxa" w:w="3427"/>
            <w:shd w:fill="2E344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Risk</w:t>
            </w:r>
          </w:p>
        </w:tc>
        <w:tc>
          <w:tcPr>
            <w:tcW w:type="dxa" w:w="1411"/>
            <w:shd w:fill="2E344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Category</w:t>
            </w:r>
          </w:p>
        </w:tc>
        <w:tc>
          <w:tcPr>
            <w:tcW w:type="dxa" w:w="5242"/>
            <w:shd w:fill="2E344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Mitigation</w:t>
            </w:r>
          </w:p>
        </w:tc>
      </w:tr>
      <w:tr>
        <w:tc>
          <w:tcPr>
            <w:tcW w:type="dxa" w:w="3427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4"/>
                <w:szCs w:val="14"/>
              </w:rPr>
              <w:t xml:space="preserve">Notification volume overwhelms users once every module (Release 4) is emitting events, causing them to be ignored.</w:t>
            </w:r>
          </w:p>
        </w:tc>
        <w:tc>
          <w:tcPr>
            <w:tcW w:type="dxa" w:w="1411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4"/>
                <w:szCs w:val="14"/>
              </w:rPr>
              <w:t xml:space="preserve">Business</w:t>
            </w:r>
          </w:p>
        </w:tc>
        <w:tc>
          <w:tcPr>
            <w:tcW w:type="dxa" w:w="5242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4"/>
                <w:szCs w:val="14"/>
              </w:rPr>
              <w:t xml:space="preserve">Category-level preferences (FR-NOT-03) let users tune volume per category rather than an all-or-nothing setting.</w:t>
            </w:r>
          </w:p>
        </w:tc>
      </w:tr>
      <w:tr>
        <w:tc>
          <w:tcPr>
            <w:tcW w:type="dxa" w:w="3427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4"/>
                <w:szCs w:val="14"/>
              </w:rPr>
              <w:t xml:space="preserve">Synchronous notification dispatch accidentally introduced later, coupling emitting modules' reliability to this Work Package's uptime.</w:t>
            </w:r>
          </w:p>
        </w:tc>
        <w:tc>
          <w:tcPr>
            <w:tcW w:type="dxa" w:w="1411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4"/>
                <w:szCs w:val="14"/>
              </w:rPr>
              <w:t xml:space="preserve">Technical</w:t>
            </w:r>
          </w:p>
        </w:tc>
        <w:tc>
          <w:tcPr>
            <w:tcW w:type="dxa" w:w="5242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4"/>
                <w:szCs w:val="14"/>
              </w:rPr>
              <w:t xml:space="preserve">Asynchronous dispatch is an explicit architectural constraint (NFR-NOT-01), tested and enforced in code review, not left to convention.</w:t>
            </w:r>
          </w:p>
        </w:tc>
      </w:tr>
    </w:tbl>
    <w:p>
      <w:pPr>
        <w:pStyle w:val="Heading1"/>
        <w:pBdr>
          <w:bottom w:val="single" w:color="D3D7DC" w:sz="4" w:space="4"/>
        </w:pBdr>
        <w:spacing w:after="140" w:before="360"/>
      </w:pPr>
      <w:r>
        <w:rPr>
          <w:b/>
          <w:bCs/>
          <w:color w:val="B23A48"/>
          <w:sz w:val="26"/>
          <w:szCs w:val="26"/>
        </w:rPr>
        <w:t xml:space="preserve">20  </w:t>
      </w:r>
      <w:r>
        <w:rPr>
          <w:b/>
          <w:bCs/>
          <w:color w:val="2E3440"/>
          <w:sz w:val="26"/>
          <w:szCs w:val="26"/>
        </w:rPr>
        <w:t xml:space="preserve">Engineering Checklist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Code complete.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Tests passed.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Documentation updated.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ADR updated.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Security validated.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Performance validated.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Accessibility validated.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Peer review approved.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Traceability updated.</w:t>
      </w:r>
    </w:p>
    <w:p>
      <w:pPr>
        <w:pStyle w:val="Heading1"/>
        <w:pBdr>
          <w:bottom w:val="single" w:color="D3D7DC" w:sz="4" w:space="4"/>
        </w:pBdr>
        <w:spacing w:after="140" w:before="360"/>
      </w:pPr>
      <w:r>
        <w:rPr>
          <w:b/>
          <w:bCs/>
          <w:color w:val="B23A48"/>
          <w:sz w:val="26"/>
          <w:szCs w:val="26"/>
        </w:rPr>
        <w:t xml:space="preserve">21  </w:t>
      </w:r>
      <w:r>
        <w:rPr>
          <w:b/>
          <w:bCs/>
          <w:color w:val="2E3440"/>
          <w:sz w:val="26"/>
          <w:szCs w:val="26"/>
        </w:rPr>
        <w:t xml:space="preserve">Antigravity Implementation Package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F2E8E9" w:sz="2"/>
              <w:left w:val="single" w:color="B23A48" w:sz="24"/>
              <w:bottom w:val="single" w:color="F2E8E9" w:sz="2"/>
              <w:right w:val="single" w:color="F2E8E9" w:sz="2"/>
            </w:tcBorders>
            <w:shd w:fill="F2E8E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B23A48"/>
                <w:sz w:val="17"/>
                <w:szCs w:val="17"/>
              </w:rPr>
              <w:t xml:space="preserve">ANTIGRAVITY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This section is the complete, self-contained handoff package for Antigravity to execute WP-18 without consulting any document outside this list.</w:t>
            </w:r>
          </w:p>
        </w:tc>
      </w:tr>
    </w:tbl>
    <w:p>
      <w:pPr>
        <w:spacing w:after="1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1"/>
        <w:gridCol w:w="7459"/>
      </w:tblGrid>
      <w:tr>
        <w:trPr>
          <w:tblHeader/>
        </w:trPr>
        <w:tc>
          <w:tcPr>
            <w:tcW w:type="dxa" w:w="2621"/>
            <w:shd w:fill="2E344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Element</w:t>
            </w:r>
          </w:p>
        </w:tc>
        <w:tc>
          <w:tcPr>
            <w:tcW w:type="dxa" w:w="7459"/>
            <w:shd w:fill="2E344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Detail</w:t>
            </w:r>
          </w:p>
        </w:tc>
      </w:tr>
      <w:tr>
        <w:tc>
          <w:tcPr>
            <w:tcW w:type="dxa" w:w="2621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4"/>
                <w:szCs w:val="14"/>
              </w:rPr>
              <w:t xml:space="preserve">Required Context Documents</w:t>
            </w:r>
          </w:p>
        </w:tc>
        <w:tc>
          <w:tcPr>
            <w:tcW w:type="dxa" w:w="7459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4"/>
                <w:szCs w:val="14"/>
              </w:rPr>
              <w:t xml:space="preserve">This document (EWPL WP-18); SRS Parts 17 and 26; EWPL WP-04, WP-09, WP-10, WP-11.</w:t>
            </w:r>
          </w:p>
        </w:tc>
      </w:tr>
      <w:tr>
        <w:tc>
          <w:tcPr>
            <w:tcW w:type="dxa" w:w="2621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4"/>
                <w:szCs w:val="14"/>
              </w:rPr>
              <w:t xml:space="preserve">Mandatory Architecture References</w:t>
            </w:r>
          </w:p>
        </w:tc>
        <w:tc>
          <w:tcPr>
            <w:tcW w:type="dxa" w:w="7459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4"/>
                <w:szCs w:val="14"/>
              </w:rPr>
              <w:t xml:space="preserve">MEKB Part 11 Dependency Matrix entry for WP-18.</w:t>
            </w:r>
          </w:p>
        </w:tc>
      </w:tr>
      <w:tr>
        <w:tc>
          <w:tcPr>
            <w:tcW w:type="dxa" w:w="2621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4"/>
                <w:szCs w:val="14"/>
              </w:rPr>
              <w:t xml:space="preserve">Required APIs</w:t>
            </w:r>
          </w:p>
        </w:tc>
        <w:tc>
          <w:tcPr>
            <w:tcW w:type="dxa" w:w="7459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4"/>
                <w:szCs w:val="14"/>
              </w:rPr>
              <w:t xml:space="preserve">The three endpoints in Section 8.</w:t>
            </w:r>
          </w:p>
        </w:tc>
      </w:tr>
      <w:tr>
        <w:tc>
          <w:tcPr>
            <w:tcW w:type="dxa" w:w="2621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4"/>
                <w:szCs w:val="14"/>
              </w:rPr>
              <w:t xml:space="preserve">Required Database Objects</w:t>
            </w:r>
          </w:p>
        </w:tc>
        <w:tc>
          <w:tcPr>
            <w:tcW w:type="dxa" w:w="7459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4"/>
                <w:szCs w:val="14"/>
              </w:rPr>
              <w:t xml:space="preserve">notifications (Release 1); notification_preferences (Release 4) — Section 9.</w:t>
            </w:r>
          </w:p>
        </w:tc>
      </w:tr>
      <w:tr>
        <w:tc>
          <w:tcPr>
            <w:tcW w:type="dxa" w:w="2621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4"/>
                <w:szCs w:val="14"/>
              </w:rPr>
              <w:t xml:space="preserve">Required UI Components</w:t>
            </w:r>
          </w:p>
        </w:tc>
        <w:tc>
          <w:tcPr>
            <w:tcW w:type="dxa" w:w="7459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4"/>
                <w:szCs w:val="14"/>
              </w:rPr>
              <w:t xml:space="preserve">None (Release 1); the two screens in Section 7 (Release 4).</w:t>
            </w:r>
          </w:p>
        </w:tc>
      </w:tr>
      <w:tr>
        <w:tc>
          <w:tcPr>
            <w:tcW w:type="dxa" w:w="2621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4"/>
                <w:szCs w:val="14"/>
              </w:rPr>
              <w:t xml:space="preserve">Security Controls</w:t>
            </w:r>
          </w:p>
        </w:tc>
        <w:tc>
          <w:tcPr>
            <w:tcW w:type="dxa" w:w="7459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4"/>
                <w:szCs w:val="14"/>
              </w:rPr>
              <w:t xml:space="preserve">Owner-scoped access to notifications, content leak prevention — Section 10.</w:t>
            </w:r>
          </w:p>
        </w:tc>
      </w:tr>
      <w:tr>
        <w:tc>
          <w:tcPr>
            <w:tcW w:type="dxa" w:w="2621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4"/>
                <w:szCs w:val="14"/>
              </w:rPr>
              <w:t xml:space="preserve">Test Cases</w:t>
            </w:r>
          </w:p>
        </w:tc>
        <w:tc>
          <w:tcPr>
            <w:tcW w:type="dxa" w:w="7459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4"/>
                <w:szCs w:val="14"/>
              </w:rPr>
              <w:t xml:space="preserve">The full Section 13 suite.</w:t>
            </w:r>
          </w:p>
        </w:tc>
      </w:tr>
      <w:tr>
        <w:tc>
          <w:tcPr>
            <w:tcW w:type="dxa" w:w="2621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4"/>
                <w:szCs w:val="14"/>
              </w:rPr>
              <w:t xml:space="preserve">Expected Engineering Outputs</w:t>
            </w:r>
          </w:p>
        </w:tc>
        <w:tc>
          <w:tcPr>
            <w:tcW w:type="dxa" w:w="7459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4"/>
                <w:szCs w:val="14"/>
              </w:rPr>
              <w:t xml:space="preserve">Notification dispatch service, in-app store, preference service, Release 4 UI, full test suite, ADR.</w:t>
            </w:r>
          </w:p>
        </w:tc>
      </w:tr>
      <w:tr>
        <w:tc>
          <w:tcPr>
            <w:tcW w:type="dxa" w:w="2621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4"/>
                <w:szCs w:val="14"/>
              </w:rPr>
              <w:t xml:space="preserve">Documentation Updates</w:t>
            </w:r>
          </w:p>
        </w:tc>
        <w:tc>
          <w:tcPr>
            <w:tcW w:type="dxa" w:w="7459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4"/>
                <w:szCs w:val="14"/>
              </w:rPr>
              <w:t xml:space="preserve">User Guide, ADR log, Requirements Traceability Matrix.</w:t>
            </w:r>
          </w:p>
        </w:tc>
      </w:tr>
      <w:tr>
        <w:tc>
          <w:tcPr>
            <w:tcW w:type="dxa" w:w="2621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4"/>
                <w:szCs w:val="14"/>
              </w:rPr>
              <w:t xml:space="preserve">Completion Checklist</w:t>
            </w:r>
          </w:p>
        </w:tc>
        <w:tc>
          <w:tcPr>
            <w:tcW w:type="dxa" w:w="7459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4"/>
                <w:szCs w:val="14"/>
              </w:rPr>
              <w:t xml:space="preserve">Identical to Section 20.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20"/>
    </w:pPr>
    <w:rPr>
      <w:rFonts w:ascii="Calibri" w:cs="Calibri" w:eastAsia="Calibri" w:hAnsi="Calibri"/>
      <w:b/>
      <w:bCs/>
      <w:color w:val="2E3440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110" w:before="240"/>
    </w:pPr>
    <w:rPr>
      <w:rFonts w:ascii="Calibri" w:cs="Calibri" w:eastAsia="Calibri" w:hAnsi="Calibri"/>
      <w:b/>
      <w:bCs/>
      <w:color w:val="2E3440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2026-07-20T17:08:09.470Z</dcterms:created>
  <dcterms:modified xsi:type="dcterms:W3CDTF">2026-07-20T17:08:09.470Z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