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Calibri" w:cs="Calibri" w:eastAsia="Calibri" w:hAnsi="Calibri"/>
          <w:b w:val="1"/>
          <w:bCs w:val="1"/>
          <w:color w:val="222222"/>
          <w:highlight w:val="white"/>
          <w:u w:val="single"/>
        </w:rPr>
      </w:pPr>
      <w:bookmarkStart w:colFirst="0" w:colLast="0" w:name="_heading=h.m68pvnr89daq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highlight w:val="white"/>
          <w:u w:val="single"/>
          <w:rtl w:val="0"/>
        </w:rPr>
        <w:t xml:space="preserve">Visita Screening/randomización</w:t>
      </w:r>
    </w:p>
    <w:p w:rsidR="00000000" w:rsidDel="00000000" w:rsidP="00000000" w:rsidRDefault="00000000" w:rsidRPr="00000000" w14:paraId="00000002">
      <w:pPr>
        <w:jc w:val="both"/>
        <w:rPr>
          <w:rFonts w:ascii="Calibri" w:cs="Calibri" w:eastAsia="Calibri" w:hAnsi="Calibri"/>
          <w:b w:val="1"/>
          <w:bCs w:val="1"/>
          <w:color w:val="222222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highlight w:val="white"/>
          <w:rtl w:val="0"/>
        </w:rPr>
        <w:t xml:space="preserve">Estudio safety and Efficacy of Intravenous Thrombolysis in Patients with Ischemic Stroke</w:t>
      </w:r>
    </w:p>
    <w:p w:rsidR="00000000" w:rsidDel="00000000" w:rsidP="00000000" w:rsidRDefault="00000000" w:rsidRPr="00000000" w14:paraId="00000003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highlight w:val="white"/>
          <w:rtl w:val="0"/>
        </w:rPr>
        <w:t xml:space="preserve">on Treatment with Direct Oral Anticoagulants: DO-IT – The DOAC Intravenous Thrombolysis trial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Fecha: , Hora: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jc w:val="both"/>
        <w:rPr>
          <w:rFonts w:ascii="Calibri" w:cs="Calibri" w:eastAsia="Calibri" w:hAnsi="Calibri"/>
          <w:color w:val="222222"/>
          <w:highlight w:val="green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Cumpliendo todos los criterios de inclusión y ninguno de exclusión, </w:t>
      </w: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se explica al</w:t>
      </w:r>
      <w:r w:rsidDel="00000000" w:rsidR="00000000" w:rsidRPr="00000000">
        <w:rPr>
          <w:rFonts w:ascii="Calibri" w:cs="Calibri" w:eastAsia="Calibri" w:hAnsi="Calibri"/>
          <w:color w:val="222222"/>
          <w:shd w:fill="b6d7a8" w:val="clear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22222"/>
          <w:highlight w:val="green"/>
          <w:rtl w:val="0"/>
        </w:rPr>
        <w:t xml:space="preserve">paciente o al familiar</w:t>
      </w: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 el estudio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DO IT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y se le concede tiempo para resolver dudas. El</w:t>
      </w:r>
      <w:r w:rsidDel="00000000" w:rsidR="00000000" w:rsidRPr="00000000">
        <w:rPr>
          <w:rFonts w:ascii="Calibri" w:cs="Calibri" w:eastAsia="Calibri" w:hAnsi="Calibri"/>
          <w:color w:val="222222"/>
          <w:highlight w:val="green"/>
          <w:rtl w:val="0"/>
        </w:rPr>
        <w:t xml:space="preserve"> paciente</w:t>
      </w: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22222"/>
          <w:shd w:fill="b6d7a8" w:val="clear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En el caso en el que el paciente no pueda escribir: dejar bien explicado + escribir familiar como testigo. importamte que comprenda el paciente, si no comprende no puede entrar en el ensayo, no vale que consienta un familiar por él)</w:t>
      </w: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acepta participar en el estudio y firma el consentimiento </w:t>
      </w:r>
      <w:r w:rsidDel="00000000" w:rsidR="00000000" w:rsidRPr="00000000">
        <w:rPr>
          <w:rFonts w:ascii="Calibri" w:cs="Calibri" w:eastAsia="Calibri" w:hAnsi="Calibri"/>
          <w:color w:val="222222"/>
          <w:highlight w:val="yellow"/>
          <w:rtl w:val="0"/>
        </w:rPr>
        <w:t xml:space="preserve">Main ICF_FALTA INFO</w:t>
      </w: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 y se le entrega copia (fecha: </w:t>
      </w:r>
      <w:r w:rsidDel="00000000" w:rsidR="00000000" w:rsidRPr="00000000">
        <w:rPr>
          <w:rFonts w:ascii="Calibri" w:cs="Calibri" w:eastAsia="Calibri" w:hAnsi="Calibri"/>
          <w:highlight w:val="green"/>
          <w:rtl w:val="0"/>
        </w:rPr>
        <w:t xml:space="preserve">xx/xx/2026, hora xx:xx</w:t>
      </w: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) antes de la realización de ningún procedimiento del estudio. Se procede a la inclusión en el estudio y se le asigna el código de paciente </w:t>
      </w:r>
      <w:r w:rsidDel="00000000" w:rsidR="00000000" w:rsidRPr="00000000">
        <w:rPr>
          <w:rFonts w:ascii="Calibri" w:cs="Calibri" w:eastAsia="Calibri" w:hAnsi="Calibri"/>
          <w:color w:val="222222"/>
          <w:shd w:fill="b6d7a8" w:val="clear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22222"/>
          <w:highlight w:val="green"/>
          <w:rtl w:val="0"/>
        </w:rPr>
        <w:t xml:space="preserve">XX </w:t>
      </w:r>
    </w:p>
    <w:p w:rsidR="00000000" w:rsidDel="00000000" w:rsidP="00000000" w:rsidRDefault="00000000" w:rsidRPr="00000000" w14:paraId="00000005">
      <w:pPr>
        <w:widowControl w:val="0"/>
        <w:jc w:val="both"/>
        <w:rPr>
          <w:rFonts w:ascii="Calibri" w:cs="Calibri" w:eastAsia="Calibri" w:hAnsi="Calibri"/>
          <w:color w:val="222222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Paciente de</w:t>
      </w:r>
      <w:r w:rsidDel="00000000" w:rsidR="00000000" w:rsidRPr="00000000">
        <w:rPr>
          <w:rFonts w:ascii="Calibri" w:cs="Calibri" w:eastAsia="Calibri" w:hAnsi="Calibri"/>
          <w:color w:val="222222"/>
          <w:highlight w:val="green"/>
          <w:rtl w:val="0"/>
        </w:rPr>
        <w:t xml:space="preserve"> XX </w:t>
      </w: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años, caucásico, no hispano/latino. Presenta antecedentes médicos de………. y quirúrgicos ……... </w:t>
      </w:r>
    </w:p>
    <w:p w:rsidR="00000000" w:rsidDel="00000000" w:rsidP="00000000" w:rsidRDefault="00000000" w:rsidRPr="00000000" w14:paraId="00000006">
      <w:pPr>
        <w:widowControl w:val="0"/>
        <w:jc w:val="both"/>
        <w:rPr>
          <w:rFonts w:ascii="Calibri" w:cs="Calibri" w:eastAsia="Calibri" w:hAnsi="Calibri"/>
          <w:color w:val="222222"/>
          <w:shd w:fill="b6d7a8" w:val="clear"/>
        </w:rPr>
      </w:pP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Hábito tabáquico:</w:t>
      </w:r>
      <w:r w:rsidDel="00000000" w:rsidR="00000000" w:rsidRPr="00000000">
        <w:rPr>
          <w:rFonts w:ascii="Calibri" w:cs="Calibri" w:eastAsia="Calibri" w:hAnsi="Calibri"/>
          <w:color w:val="222222"/>
          <w:shd w:fill="b6d7a8" w:val="clear"/>
          <w:rtl w:val="0"/>
        </w:rPr>
        <w:t xml:space="preserve"> No/Si (cig</w:t>
      </w: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/día durante</w:t>
      </w:r>
      <w:r w:rsidDel="00000000" w:rsidR="00000000" w:rsidRPr="00000000">
        <w:rPr>
          <w:rFonts w:ascii="Calibri" w:cs="Calibri" w:eastAsia="Calibri" w:hAnsi="Calibri"/>
          <w:color w:val="222222"/>
          <w:shd w:fill="b6d7a8" w:val="clear"/>
          <w:rtl w:val="0"/>
        </w:rPr>
        <w:t xml:space="preserve"> XX</w:t>
      </w: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 años). Hábito alcohólico: </w:t>
      </w:r>
      <w:r w:rsidDel="00000000" w:rsidR="00000000" w:rsidRPr="00000000">
        <w:rPr>
          <w:rFonts w:ascii="Calibri" w:cs="Calibri" w:eastAsia="Calibri" w:hAnsi="Calibri"/>
          <w:color w:val="222222"/>
          <w:shd w:fill="b6d7a8" w:val="clear"/>
          <w:rtl w:val="0"/>
        </w:rPr>
        <w:t xml:space="preserve">No/Si (UBES)</w:t>
      </w:r>
    </w:p>
    <w:p w:rsidR="00000000" w:rsidDel="00000000" w:rsidP="00000000" w:rsidRDefault="00000000" w:rsidRPr="00000000" w14:paraId="00000007">
      <w:pPr>
        <w:widowControl w:val="0"/>
        <w:jc w:val="both"/>
        <w:rPr>
          <w:rFonts w:ascii="Calibri" w:cs="Calibri" w:eastAsia="Calibri" w:hAnsi="Calibri"/>
          <w:color w:val="222222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mRS previo:  ….</w:t>
      </w:r>
    </w:p>
    <w:p w:rsidR="00000000" w:rsidDel="00000000" w:rsidP="00000000" w:rsidRDefault="00000000" w:rsidRPr="00000000" w14:paraId="00000008">
      <w:pPr>
        <w:widowControl w:val="0"/>
        <w:jc w:val="both"/>
        <w:rPr>
          <w:rFonts w:ascii="Calibri" w:cs="Calibri" w:eastAsia="Calibri" w:hAnsi="Calibri"/>
          <w:color w:val="222222"/>
          <w:shd w:fill="b6d7a8" w:val="clear"/>
        </w:rPr>
      </w:pP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Consulta por cuadro de inicio </w:t>
      </w:r>
      <w:r w:rsidDel="00000000" w:rsidR="00000000" w:rsidRPr="00000000">
        <w:rPr>
          <w:rFonts w:ascii="Calibri" w:cs="Calibri" w:eastAsia="Calibri" w:hAnsi="Calibri"/>
          <w:color w:val="222222"/>
          <w:shd w:fill="b6d7a8" w:val="clear"/>
          <w:rtl w:val="0"/>
        </w:rPr>
        <w:t xml:space="preserve">hoy ( o fecha xx/xx/2026 ) a las ...: … h (o incluir hora de la última vez visto normal)  </w:t>
      </w: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por </w:t>
      </w:r>
      <w:r w:rsidDel="00000000" w:rsidR="00000000" w:rsidRPr="00000000">
        <w:rPr>
          <w:rFonts w:ascii="Calibri" w:cs="Calibri" w:eastAsia="Calibri" w:hAnsi="Calibri"/>
          <w:color w:val="222222"/>
          <w:shd w:fill="b6d7a8" w:val="clear"/>
          <w:rtl w:val="0"/>
        </w:rPr>
        <w:t xml:space="preserve">alteración del lenguaje, PFSN I y hemiparesia izquierda. No episodios previos similares. Niega otra sintomatología</w:t>
      </w:r>
    </w:p>
    <w:p w:rsidR="00000000" w:rsidDel="00000000" w:rsidP="00000000" w:rsidRDefault="00000000" w:rsidRPr="00000000" w14:paraId="0000000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Signos vitales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 Xh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TA: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 _ /__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mmHg, FC: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 ___ 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pm, FR: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 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rpm, Tª: 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ab/>
      </w:r>
      <w:r w:rsidDel="00000000" w:rsidR="00000000" w:rsidRPr="00000000">
        <w:rPr>
          <w:rFonts w:ascii="Calibri" w:cs="Calibri" w:eastAsia="Calibri" w:hAnsi="Calibri"/>
          <w:rtl w:val="0"/>
        </w:rPr>
        <w:t xml:space="preserve">ºC. Exploración física normal. Talla: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 _____ 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Pes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o: _____kg.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jc w:val="both"/>
        <w:rPr>
          <w:rFonts w:ascii="Calibri" w:cs="Calibri" w:eastAsia="Calibri" w:hAnsi="Calibri"/>
          <w:shd w:fill="b6d7a8" w:val="clear"/>
        </w:rPr>
      </w:pP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Exploración neurológica:  </w:t>
      </w:r>
      <w:r w:rsidDel="00000000" w:rsidR="00000000" w:rsidRPr="00000000">
        <w:rPr>
          <w:rFonts w:ascii="Calibri" w:cs="Calibri" w:eastAsia="Calibri" w:hAnsi="Calibri"/>
          <w:color w:val="222222"/>
          <w:shd w:fill="b6d7a8" w:val="clear"/>
          <w:rtl w:val="0"/>
        </w:rPr>
        <w:t xml:space="preserve">GCS: _______. 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 Vigil, atento y orientado. No alteraciones del lenguaje. No alteraciones campimétricas. MOEs normales, sin nistagmo. Balance motor normal. No alteraciones de la sensibilidad táctil. No dismetrías. Marcha normal. NIHSS ……</w:t>
      </w:r>
    </w:p>
    <w:p w:rsidR="00000000" w:rsidDel="00000000" w:rsidP="00000000" w:rsidRDefault="00000000" w:rsidRPr="00000000" w14:paraId="0000000B">
      <w:pPr>
        <w:widowControl w:val="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color w:val="222222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Se randomiza al paciente y se le asigna la rama: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color w:val="222222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Rama 1: Best medical treatment (BMT): pacientes anticoag , no IVT pero si TEV)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Rama 2: BMT +  IVT (tenecteplasa/alteplasa)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jc w:val="both"/>
        <w:rPr>
          <w:rFonts w:ascii="Calibri" w:cs="Calibri" w:eastAsia="Calibri" w:hAnsi="Calibri"/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jc w:val="both"/>
        <w:rPr>
          <w:rFonts w:ascii="Calibri" w:cs="Calibri" w:eastAsia="Calibri" w:hAnsi="Calibri"/>
          <w:color w:val="222222"/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jc w:val="both"/>
        <w:rPr>
          <w:rFonts w:ascii="Calibri" w:cs="Calibri" w:eastAsia="Calibri" w:hAnsi="Calibri"/>
          <w:color w:val="222222"/>
          <w:highlight w:val="green"/>
        </w:rPr>
      </w:pP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Ictus de etiologia </w:t>
      </w:r>
      <w:r w:rsidDel="00000000" w:rsidR="00000000" w:rsidRPr="00000000">
        <w:rPr>
          <w:rFonts w:ascii="Calibri" w:cs="Calibri" w:eastAsia="Calibri" w:hAnsi="Calibri"/>
          <w:color w:val="222222"/>
          <w:highlight w:val="green"/>
          <w:rtl w:val="0"/>
        </w:rPr>
        <w:t xml:space="preserve">X.</w:t>
      </w:r>
    </w:p>
    <w:p w:rsidR="00000000" w:rsidDel="00000000" w:rsidP="00000000" w:rsidRDefault="00000000" w:rsidRPr="00000000" w14:paraId="00000012">
      <w:pPr>
        <w:widowControl w:val="0"/>
        <w:jc w:val="both"/>
        <w:rPr>
          <w:rFonts w:ascii="Calibri" w:cs="Calibri" w:eastAsia="Calibri" w:hAnsi="Calibri"/>
          <w:color w:val="222222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jc w:val="both"/>
        <w:rPr>
          <w:rFonts w:ascii="Calibri" w:cs="Calibri" w:eastAsia="Calibri" w:hAnsi="Calibri"/>
          <w:color w:val="222222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Signos vitales pre infusión (</w:t>
      </w:r>
      <w:r w:rsidDel="00000000" w:rsidR="00000000" w:rsidRPr="00000000">
        <w:rPr>
          <w:rFonts w:ascii="Calibri" w:cs="Calibri" w:eastAsia="Calibri" w:hAnsi="Calibri"/>
          <w:color w:val="222222"/>
          <w:highlight w:val="green"/>
          <w:rtl w:val="0"/>
        </w:rPr>
        <w:t xml:space="preserve">Xh</w:t>
      </w: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):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TA: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 _ /__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mmHg, FC: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 ___ 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pm, FR: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 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rpm, Tª: 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ab/>
      </w:r>
      <w:r w:rsidDel="00000000" w:rsidR="00000000" w:rsidRPr="00000000">
        <w:rPr>
          <w:rFonts w:ascii="Calibri" w:cs="Calibri" w:eastAsia="Calibri" w:hAnsi="Calibri"/>
          <w:rtl w:val="0"/>
        </w:rPr>
        <w:t xml:space="preserve">ºC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jc w:val="both"/>
        <w:rPr>
          <w:rFonts w:ascii="Calibri" w:cs="Calibri" w:eastAsia="Calibri" w:hAnsi="Calibri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jc w:val="both"/>
        <w:rPr>
          <w:rFonts w:ascii="Calibri" w:cs="Calibri" w:eastAsia="Calibri" w:hAnsi="Calibri"/>
          <w:color w:val="222222"/>
          <w:highlight w:val="yellow"/>
        </w:rPr>
      </w:pP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Se administra TIV a las </w:t>
      </w:r>
      <w:r w:rsidDel="00000000" w:rsidR="00000000" w:rsidRPr="00000000">
        <w:rPr>
          <w:rFonts w:ascii="Calibri" w:cs="Calibri" w:eastAsia="Calibri" w:hAnsi="Calibri"/>
          <w:color w:val="222222"/>
          <w:highlight w:val="green"/>
          <w:rtl w:val="0"/>
        </w:rPr>
        <w:t xml:space="preserve">Xh </w:t>
      </w:r>
      <w:r w:rsidDel="00000000" w:rsidR="00000000" w:rsidRPr="00000000">
        <w:rPr>
          <w:rFonts w:ascii="Calibri" w:cs="Calibri" w:eastAsia="Calibri" w:hAnsi="Calibri"/>
          <w:color w:val="222222"/>
          <w:highlight w:val="yellow"/>
          <w:rtl w:val="0"/>
        </w:rPr>
        <w:t xml:space="preserve">(lote: _______ / fecha caducidad:  _____)</w:t>
      </w:r>
    </w:p>
    <w:p w:rsidR="00000000" w:rsidDel="00000000" w:rsidP="00000000" w:rsidRDefault="00000000" w:rsidRPr="00000000" w14:paraId="00000016">
      <w:pPr>
        <w:widowControl w:val="0"/>
        <w:jc w:val="both"/>
        <w:rPr>
          <w:rFonts w:ascii="Calibri" w:cs="Calibri" w:eastAsia="Calibri" w:hAnsi="Calibri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jc w:val="both"/>
        <w:rPr>
          <w:rFonts w:ascii="Calibri" w:cs="Calibri" w:eastAsia="Calibri" w:hAnsi="Calibri"/>
          <w:color w:val="222222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Signos vitales post infusión (</w:t>
      </w:r>
      <w:r w:rsidDel="00000000" w:rsidR="00000000" w:rsidRPr="00000000">
        <w:rPr>
          <w:rFonts w:ascii="Calibri" w:cs="Calibri" w:eastAsia="Calibri" w:hAnsi="Calibri"/>
          <w:color w:val="222222"/>
          <w:highlight w:val="green"/>
          <w:rtl w:val="0"/>
        </w:rPr>
        <w:t xml:space="preserve">Xh</w:t>
      </w: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):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TA: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 _ /__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mmHg, FC: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 ___ 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pm, FR: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 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rpm, Tª: 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ab/>
      </w:r>
      <w:r w:rsidDel="00000000" w:rsidR="00000000" w:rsidRPr="00000000">
        <w:rPr>
          <w:rFonts w:ascii="Calibri" w:cs="Calibri" w:eastAsia="Calibri" w:hAnsi="Calibri"/>
          <w:rtl w:val="0"/>
        </w:rPr>
        <w:t xml:space="preserve">ºC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jc w:val="both"/>
        <w:rPr>
          <w:rFonts w:ascii="Calibri" w:cs="Calibri" w:eastAsia="Calibri" w:hAnsi="Calibri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jc w:val="both"/>
        <w:rPr>
          <w:rFonts w:ascii="Calibri" w:cs="Calibri" w:eastAsia="Calibri" w:hAnsi="Calibri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jc w:val="both"/>
        <w:rPr>
          <w:rFonts w:ascii="Calibri" w:cs="Calibri" w:eastAsia="Calibri" w:hAnsi="Calibri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jc w:val="both"/>
        <w:rPr>
          <w:rFonts w:ascii="Calibri" w:cs="Calibri" w:eastAsia="Calibri" w:hAnsi="Calibri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jc w:val="both"/>
        <w:rPr>
          <w:rFonts w:ascii="Calibri" w:cs="Calibri" w:eastAsia="Calibri" w:hAnsi="Calibri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Visita 24</w:t>
      </w:r>
    </w:p>
    <w:p w:rsidR="00000000" w:rsidDel="00000000" w:rsidP="00000000" w:rsidRDefault="00000000" w:rsidRPr="00000000" w14:paraId="0000001E">
      <w:pPr>
        <w:jc w:val="both"/>
        <w:rPr>
          <w:rFonts w:ascii="Calibri" w:cs="Calibri" w:eastAsia="Calibri" w:hAnsi="Calibri"/>
          <w:b w:val="1"/>
          <w:bCs w:val="1"/>
          <w:color w:val="222222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highlight w:val="white"/>
          <w:rtl w:val="0"/>
        </w:rPr>
        <w:t xml:space="preserve">Estudio safety and Efficacy of Intravenous Thrombolysis in Patients with Ischemic Stroke</w:t>
      </w:r>
    </w:p>
    <w:p w:rsidR="00000000" w:rsidDel="00000000" w:rsidP="00000000" w:rsidRDefault="00000000" w:rsidRPr="00000000" w14:paraId="0000001F">
      <w:pPr>
        <w:jc w:val="both"/>
        <w:rPr>
          <w:rFonts w:ascii="Calibri" w:cs="Calibri" w:eastAsia="Calibri" w:hAnsi="Calibri"/>
          <w:b w:val="1"/>
          <w:bCs w:val="1"/>
          <w:color w:val="222222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highlight w:val="white"/>
          <w:rtl w:val="0"/>
        </w:rPr>
        <w:t xml:space="preserve">on Treatment with Direct Oral Anticoagulants: DO-IT – The DOAC Intravenous Thrombolysis trial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>
          <w:rFonts w:ascii="Calibri" w:cs="Calibri" w:eastAsia="Calibri" w:hAnsi="Calibri"/>
          <w:color w:val="222222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NIHSS (si aumenta ≥ 4 puntos de la basal, reportar SAE)</w:t>
      </w:r>
    </w:p>
    <w:p w:rsidR="00000000" w:rsidDel="00000000" w:rsidP="00000000" w:rsidRDefault="00000000" w:rsidRPr="00000000" w14:paraId="00000022">
      <w:pPr>
        <w:spacing w:line="276" w:lineRule="auto"/>
        <w:rPr>
          <w:rFonts w:ascii="Calibri" w:cs="Calibri" w:eastAsia="Calibri" w:hAnsi="Calibri"/>
          <w:color w:val="222222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Medicación desde el ingreso hasta antes del TAC:</w:t>
      </w:r>
    </w:p>
    <w:p w:rsidR="00000000" w:rsidDel="00000000" w:rsidP="00000000" w:rsidRDefault="00000000" w:rsidRPr="00000000" w14:paraId="00000023">
      <w:pPr>
        <w:spacing w:line="276" w:lineRule="auto"/>
        <w:rPr>
          <w:rFonts w:ascii="Calibri" w:cs="Calibri" w:eastAsia="Calibri" w:hAnsi="Calibri"/>
          <w:color w:val="222222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TC: se observa…. (Si TH indicar tipo, severidad y relación con la medicación)</w:t>
      </w:r>
    </w:p>
    <w:p w:rsidR="00000000" w:rsidDel="00000000" w:rsidP="00000000" w:rsidRDefault="00000000" w:rsidRPr="00000000" w14:paraId="00000024">
      <w:pPr>
        <w:spacing w:line="276" w:lineRule="auto"/>
        <w:rPr>
          <w:rFonts w:ascii="Calibri" w:cs="Calibri" w:eastAsia="Calibri" w:hAnsi="Calibri"/>
          <w:color w:val="222222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AEs/SAEs</w:t>
      </w:r>
    </w:p>
    <w:p w:rsidR="00000000" w:rsidDel="00000000" w:rsidP="00000000" w:rsidRDefault="00000000" w:rsidRPr="00000000" w14:paraId="00000025">
      <w:pPr>
        <w:spacing w:line="276" w:lineRule="auto"/>
        <w:rPr>
          <w:rFonts w:ascii="Calibri" w:cs="Calibri" w:eastAsia="Calibri" w:hAnsi="Calibri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rFonts w:ascii="Calibri" w:cs="Calibri" w:eastAsia="Calibri" w:hAnsi="Calibri"/>
          <w:color w:val="222222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Hora toma de anticoagulante (24 post iv): </w:t>
      </w:r>
    </w:p>
    <w:p w:rsidR="00000000" w:rsidDel="00000000" w:rsidP="00000000" w:rsidRDefault="00000000" w:rsidRPr="00000000" w14:paraId="0000002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Visita 72h </w:t>
      </w:r>
    </w:p>
    <w:p w:rsidR="00000000" w:rsidDel="00000000" w:rsidP="00000000" w:rsidRDefault="00000000" w:rsidRPr="00000000" w14:paraId="0000002C">
      <w:pPr>
        <w:spacing w:line="276" w:lineRule="auto"/>
        <w:rPr>
          <w:rFonts w:ascii="Calibri" w:cs="Calibri" w:eastAsia="Calibri" w:hAnsi="Calibri"/>
          <w:b w:val="1"/>
          <w:bCs w:val="1"/>
          <w:color w:val="222222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highlight w:val="white"/>
          <w:rtl w:val="0"/>
        </w:rPr>
        <w:t xml:space="preserve">Estudio safety and Efficacy of Intravenous Thrombolysis in Patients with Ischemic Stroke</w:t>
      </w:r>
    </w:p>
    <w:p w:rsidR="00000000" w:rsidDel="00000000" w:rsidP="00000000" w:rsidRDefault="00000000" w:rsidRPr="00000000" w14:paraId="0000002D">
      <w:pPr>
        <w:jc w:val="both"/>
        <w:rPr>
          <w:rFonts w:ascii="Calibri" w:cs="Calibri" w:eastAsia="Calibri" w:hAnsi="Calibri"/>
          <w:b w:val="1"/>
          <w:bCs w:val="1"/>
          <w:color w:val="222222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highlight w:val="white"/>
          <w:rtl w:val="0"/>
        </w:rPr>
        <w:t xml:space="preserve">on Treatment with Direct Oral Anticoagulants: DO-IT – The DOAC Intravenous Thrombolysis trial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NIHSS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222222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AEs/SAEs</w:t>
      </w:r>
    </w:p>
    <w:p w:rsidR="00000000" w:rsidDel="00000000" w:rsidP="00000000" w:rsidRDefault="00000000" w:rsidRPr="00000000" w14:paraId="00000031">
      <w:pPr>
        <w:widowControl w:val="0"/>
        <w:jc w:val="both"/>
        <w:rPr>
          <w:rFonts w:ascii="Calibri" w:cs="Calibri" w:eastAsia="Calibri" w:hAnsi="Calibri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Calibri" w:cs="Calibri" w:eastAsia="Calibri" w:hAnsi="Calibri"/>
          <w:b w:val="1"/>
          <w:bCs w:val="1"/>
          <w:color w:val="222222"/>
          <w:highlight w:val="white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highlight w:val="white"/>
          <w:u w:val="single"/>
          <w:rtl w:val="0"/>
        </w:rPr>
        <w:t xml:space="preserve">Visita dia 7 o alta</w:t>
      </w:r>
    </w:p>
    <w:p w:rsidR="00000000" w:rsidDel="00000000" w:rsidP="00000000" w:rsidRDefault="00000000" w:rsidRPr="00000000" w14:paraId="00000034">
      <w:pPr>
        <w:jc w:val="both"/>
        <w:rPr>
          <w:rFonts w:ascii="Calibri" w:cs="Calibri" w:eastAsia="Calibri" w:hAnsi="Calibri"/>
          <w:b w:val="1"/>
          <w:bCs w:val="1"/>
          <w:color w:val="222222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highlight w:val="white"/>
          <w:rtl w:val="0"/>
        </w:rPr>
        <w:t xml:space="preserve">Estudio safety and Efficacy of Intravenous Thrombolysis in Patients with Ischemic Stroke</w:t>
      </w:r>
    </w:p>
    <w:p w:rsidR="00000000" w:rsidDel="00000000" w:rsidP="00000000" w:rsidRDefault="00000000" w:rsidRPr="00000000" w14:paraId="00000035">
      <w:pPr>
        <w:jc w:val="both"/>
        <w:rPr>
          <w:rFonts w:ascii="Calibri" w:cs="Calibri" w:eastAsia="Calibri" w:hAnsi="Calibri"/>
          <w:b w:val="1"/>
          <w:bCs w:val="1"/>
          <w:color w:val="222222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highlight w:val="white"/>
          <w:rtl w:val="0"/>
        </w:rPr>
        <w:t xml:space="preserve">on Treatment with Direct Oral Anticoagulants: DO-IT – The DOAC Intravenous Thrombolysis trial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NIHSS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mRS</w:t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AE/SAE: no refiere</w:t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CM: sin cambios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Calibri" w:cs="Calibri" w:eastAsia="Calibri" w:hAnsi="Calibri"/>
          <w:b w:val="1"/>
          <w:bCs w:val="1"/>
          <w:color w:val="222222"/>
          <w:highlight w:val="white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highlight w:val="white"/>
          <w:u w:val="single"/>
          <w:rtl w:val="0"/>
        </w:rPr>
        <w:t xml:space="preserve">Visita dia 90</w:t>
      </w:r>
    </w:p>
    <w:p w:rsidR="00000000" w:rsidDel="00000000" w:rsidP="00000000" w:rsidRDefault="00000000" w:rsidRPr="00000000" w14:paraId="0000003F">
      <w:pPr>
        <w:jc w:val="both"/>
        <w:rPr>
          <w:rFonts w:ascii="Calibri" w:cs="Calibri" w:eastAsia="Calibri" w:hAnsi="Calibri"/>
          <w:b w:val="1"/>
          <w:bCs w:val="1"/>
          <w:color w:val="222222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highlight w:val="white"/>
          <w:rtl w:val="0"/>
        </w:rPr>
        <w:t xml:space="preserve">Safety and Efficacy of Intravenous Thrombolysis in Patients with Ischemic Stroke</w:t>
      </w:r>
    </w:p>
    <w:p w:rsidR="00000000" w:rsidDel="00000000" w:rsidP="00000000" w:rsidRDefault="00000000" w:rsidRPr="00000000" w14:paraId="00000040">
      <w:pPr>
        <w:jc w:val="both"/>
        <w:rPr>
          <w:rFonts w:ascii="Calibri" w:cs="Calibri" w:eastAsia="Calibri" w:hAnsi="Calibri"/>
          <w:b w:val="1"/>
          <w:bCs w:val="1"/>
          <w:color w:val="222222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highlight w:val="white"/>
          <w:rtl w:val="0"/>
        </w:rPr>
        <w:t xml:space="preserve">on Treatment with Direct Oral Anticoagulants: DO-IT – The DOAC Intravenous Thrombolysis trial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Paciente acude al centro para realizar la última visita de estudio. </w:t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realizan escalas de:</w:t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mRS</w:t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EuroQol 5D-3L</w:t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Signos vitales (Xh): </w:t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AE/SAE: no refiere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CM: sin cambios</w:t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XZhAhpdZnPvdE/kbTQ66XdmoEg==">CgMxLjAyDmgubTY4cHZucjg5ZGFxOAByITF6NlM4R1ZfTFZqWjNzRnpGLW54WHhDTkFzOEhqWE5nbA==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2026-02-06T09:48:00Z</dcterms:created>
  <dc:creator>Lídia García Guillamón</dc:creator>
</cp:coreProperties>
</file>