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Seguridad y eficacia de la trombólisis intravenosa en pacientes con ictus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isquémico e ingestión reciente de anticoagulantes orales directos: DO-IT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The DOAC Intravenous Thrombolysis trial (Ensayo de trombólisis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intravenosa con DOAC)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Nº de Centro: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Monitora</w:t>
      </w:r>
      <w:r w:rsidDel="00000000" w:rsidR="00000000" w:rsidRPr="00000000">
        <w:rPr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Nerea Fernández Trigo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before="280" w:line="276.9230769230769" w:lineRule="auto"/>
        <w:rPr>
          <w:rFonts w:ascii="Roboto" w:cs="Roboto" w:eastAsia="Roboto" w:hAnsi="Roboto"/>
          <w:b w:val="1"/>
          <w:bCs w:val="1"/>
          <w:color w:val="5e5e5e"/>
          <w:sz w:val="26"/>
          <w:szCs w:val="26"/>
        </w:rPr>
      </w:pPr>
      <w:bookmarkStart w:colFirst="0" w:colLast="0" w:name="_qcxhzsqotf34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nerea.fernandeztrigo@insel.ch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Características generales: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Consentimiento informado: consentimiento oral. Permite llamar a un familiar (consentimiento diferido). Documentar en HC.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Objetivo eficacia: mRS en SCR (cualquier delgado + mRS en 90 días (investigador ciego:  CLAUDIA)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Imágenes: TC simple + 24h TC simple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Target: 5 pacientes /año aprox.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SCR: máximo 4.5h después del evento, se excluyen los despertares (no sabemos la hora exacta de inicio)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RND: NO es ciego → 2 ramas: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Rama 1: Best medical treatment (BMT): pacientes anticoag , no IVT pero si TEV)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Rama 2: BMT +  IVT (tenecteplasa/alteplasa)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Pacientes que hayan tomado &lt; o = 48h un DOAC (anticoagulantes orales menos SINTROM)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TEV: si (hasta completar el 20% pacientes totales) Avisaremos cuando ya no se puedan incluir.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Compatible con otros estudios: devices: ok /  neuroprotectores: ok / trombolítico: consultar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SAE: en papel y seguimiento cada 14 días hasta resolución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Anticoagulación solo 24h después de IVT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highlight w:val="yellow"/>
          <w:u w:val="single"/>
        </w:rPr>
      </w:pP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Medicación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Disponible en nevera ensayos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Utilizar viales etiquetados para el ensayo (</w:t>
      </w:r>
      <w:r w:rsidDel="00000000" w:rsidR="00000000" w:rsidRPr="00000000">
        <w:rPr>
          <w:color w:val="ff0000"/>
          <w:rtl w:val="0"/>
        </w:rPr>
        <w:t xml:space="preserve">NO utilizar viales práctica clínica habitual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Ante posible candidato avisar a guardia neurovascular para CI y randomización.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NO TIRAR LOS VIALES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Registrar tabla contabilidad (carpeta medicación): lote administrado, paciente asignado, fecha caducidad</w:t>
      </w:r>
    </w:p>
    <w:p w:rsidR="00000000" w:rsidDel="00000000" w:rsidP="00000000" w:rsidRDefault="00000000" w:rsidRPr="00000000" w14:paraId="0000002E">
      <w:pPr>
        <w:shd w:fill="ffffff" w:val="clear"/>
        <w:rPr>
          <w:color w:val="22222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Acuerdo con Farmacia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Pago por incl. pacient: 790 euros</w:t>
      </w:r>
    </w:p>
    <w:p w:rsidR="00000000" w:rsidDel="00000000" w:rsidP="00000000" w:rsidRDefault="00000000" w:rsidRPr="00000000" w14:paraId="00000031">
      <w:pPr>
        <w:shd w:fill="ffffff" w:val="clear"/>
        <w:rPr/>
      </w:pPr>
      <w:r w:rsidDel="00000000" w:rsidR="00000000" w:rsidRPr="00000000">
        <w:rPr>
          <w:color w:val="222222"/>
          <w:highlight w:val="white"/>
          <w:rtl w:val="0"/>
        </w:rPr>
        <w:t xml:space="preserve">- Pago medicació: 210 euros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Circuito interno con farmacia – compran unidades por farmacia asistencial, las etiquetaran como medi de ensayo y harán dispensación en bloque. </w:t>
      </w:r>
    </w:p>
    <w:p w:rsidR="00000000" w:rsidDel="00000000" w:rsidP="00000000" w:rsidRDefault="00000000" w:rsidRPr="00000000" w14:paraId="00000034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Como unidad, completar hoja de trazabilidad del fármaco (lote, caducidad, fecha recogida farmacia) </w:t>
      </w:r>
    </w:p>
    <w:p w:rsidR="00000000" w:rsidDel="00000000" w:rsidP="00000000" w:rsidRDefault="00000000" w:rsidRPr="00000000" w14:paraId="00000035">
      <w:pPr>
        <w:rPr>
          <w:b w:val="1"/>
          <w:bCs w:val="1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Equipo investigador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IP: Carlos Molina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SC: Lidia Garcia.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Back up SC: Olalla Pancorbo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RN: Olalla Pancorbo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Back up RN: Claudia Meza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Sub investigador referente: Federica Rizzo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Otros sub-investigadores: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Nicoletta Brunelli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Marian Muchada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Federica Rizzo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Noelia Rodriguez Villatoro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Marta Rubiera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Marta Olivé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Marc Rodrigo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