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multicentric, randomized, double-blind, parallel, placebo-controlled phase III study to assess the safety and efficacy of sovateltide in patients with acute cerebral ischemic stroke.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222222"/>
          <w:shd w:fill="cccccc" w:val="clear"/>
        </w:rPr>
      </w:pPr>
      <w:r w:rsidDel="00000000" w:rsidR="00000000" w:rsidRPr="00000000">
        <w:rPr>
          <w:b w:val="1"/>
          <w:bCs w:val="1"/>
          <w:color w:val="222222"/>
          <w:shd w:fill="cccccc" w:val="clear"/>
          <w:rtl w:val="0"/>
        </w:rPr>
        <w:t xml:space="preserve">Site 3418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222222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Monitora: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ind w:left="720" w:firstLine="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Laura Molina García</w:t>
      </w:r>
    </w:p>
    <w:p w:rsidR="00000000" w:rsidDel="00000000" w:rsidP="00000000" w:rsidRDefault="00000000" w:rsidRPr="00000000" w14:paraId="00000009">
      <w:pPr>
        <w:shd w:fill="ffffff" w:val="clear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laura.molinagarcia@syneoshealth.com</w:t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Mobile </w:t>
      </w:r>
      <w:r w:rsidDel="00000000" w:rsidR="00000000" w:rsidRPr="00000000">
        <w:rPr>
          <w:b w:val="1"/>
          <w:bCs w:val="1"/>
          <w:rtl w:val="0"/>
        </w:rPr>
        <w:t xml:space="preserve">+34 673180829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Fármaco estudio:</w:t>
      </w:r>
      <w:r w:rsidDel="00000000" w:rsidR="00000000" w:rsidRPr="00000000">
        <w:rPr>
          <w:rtl w:val="0"/>
        </w:rPr>
        <w:t xml:space="preserve"> Sovateltide vs placebo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El farmaco es neuroprotector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Sovateltide se administra en bolus durante 1 -2 minutos, dentro de la ventana de tiempo de 24h desde el inicio de los síntomas o desde la última vez visto bien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 adm </w:t>
      </w:r>
      <w:r w:rsidDel="00000000" w:rsidR="00000000" w:rsidRPr="00000000">
        <w:rPr>
          <w:u w:val="single"/>
          <w:rtl w:val="0"/>
        </w:rPr>
        <w:t xml:space="preserve">3 dosis del tratamiento cada vez en intervalos de 3h</w:t>
      </w:r>
      <w:r w:rsidDel="00000000" w:rsidR="00000000" w:rsidRPr="00000000">
        <w:rPr>
          <w:u w:val="single"/>
          <w:rtl w:val="0"/>
        </w:rPr>
        <w:t xml:space="preserve"> ± 1h</w:t>
      </w:r>
      <w:r w:rsidDel="00000000" w:rsidR="00000000" w:rsidRPr="00000000">
        <w:rPr>
          <w:rtl w:val="0"/>
        </w:rPr>
        <w:t xml:space="preserve">. Se administra en el día 1, día 3 y día 6</w:t>
      </w:r>
    </w:p>
    <w:p w:rsidR="00000000" w:rsidDel="00000000" w:rsidP="00000000" w:rsidRDefault="00000000" w:rsidRPr="00000000" w14:paraId="00000013">
      <w:pPr>
        <w:pStyle w:val="Heading2"/>
        <w:spacing w:after="160" w:line="259" w:lineRule="auto"/>
        <w:rPr>
          <w:sz w:val="22"/>
          <w:szCs w:val="22"/>
        </w:rPr>
      </w:pPr>
      <w:bookmarkStart w:colFirst="0" w:colLast="0" w:name="_ekxtsamxvbay" w:id="0"/>
      <w:bookmarkEnd w:id="0"/>
      <w:r w:rsidDel="00000000" w:rsidR="00000000" w:rsidRPr="00000000">
        <w:rPr>
          <w:sz w:val="22"/>
          <w:szCs w:val="22"/>
          <w:rtl w:val="0"/>
        </w:rPr>
        <w:t xml:space="preserve">La 1a dosis tiene que entrar dentro de la ventana de las primeras 24h (extraer @ antes de la dosis)</w:t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Reconstituir vial con 5mL de SF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Fármaco en nevera - 2 a 8 ºC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Courier transporte muestras - DHL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Centrifugar muestras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222222"/>
          <w:highlight w:val="white"/>
          <w:rtl w:val="0"/>
        </w:rPr>
        <w:t xml:space="preserve"> 4ºC a 2000 rpm durante 10 minutos. Antes de centrifugar invertir tubo 8-10 veces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Seguimiento del paciente:</w:t>
      </w:r>
      <w:r w:rsidDel="00000000" w:rsidR="00000000" w:rsidRPr="00000000">
        <w:rPr>
          <w:rtl w:val="0"/>
        </w:rPr>
        <w:t xml:space="preserve"> 3 meses (hasta los 90d)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Visitas: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 1 (screening/basal/tratamiento)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Día 30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60 - telefónica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90 - presencial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Evaluadores Ciegos para las escalas—nihss, mrs, aspects, BI, moca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inclusión</w:t>
      </w:r>
    </w:p>
    <w:p w:rsidR="00000000" w:rsidDel="00000000" w:rsidP="00000000" w:rsidRDefault="00000000" w:rsidRPr="00000000" w14:paraId="00000027">
      <w:pPr>
        <w:spacing w:after="160" w:line="259" w:lineRule="auto"/>
        <w:rPr>
          <w:shd w:fill="cccccc" w:val="clear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acientes de &lt;24h y que se traten solo con rTPA </w:t>
      </w:r>
      <w:r w:rsidDel="00000000" w:rsidR="00000000" w:rsidRPr="00000000">
        <w:rPr>
          <w:shd w:fill="cccccc" w:val="clear"/>
          <w:rtl w:val="0"/>
        </w:rPr>
        <w:t xml:space="preserve">(NO pueden incluirse si TEV)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Adultos 18-80 años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Ictus isquémico confirmado en TC o RM de &lt;24h evolución o confirmado por clínica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NIHSS≥8 y &lt;20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Puntuación NIHSS Nivel de conciencia (1A) &lt;2 en el screening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mRS previo al ictus: 0-2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exclusión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Tratados con trombectomía o candidato a cirugia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Nivel de conciencia alterado ( NIHSS Level of Consciousness (1A) score ≥2)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Ictus hemorrágico en TC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del centro: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 pctes/ 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Monitora: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Patricia Garcia Vidorreta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Mail: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patricia.garciavidorreta@syneoshealth.com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Telef:  696 921548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Equipo investigador - tareas asignadas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SC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Ppal-  Lidia Garcia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Back-up: Olalla Pancorbo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SN</w:t>
      </w:r>
      <w:r w:rsidDel="00000000" w:rsidR="00000000" w:rsidRPr="00000000">
        <w:rPr>
          <w:highlight w:val="white"/>
          <w:rtl w:val="0"/>
        </w:rPr>
        <w:t xml:space="preserve"> - escalas </w:t>
      </w:r>
      <w:r w:rsidDel="00000000" w:rsidR="00000000" w:rsidRPr="00000000">
        <w:rPr>
          <w:color w:val="222222"/>
          <w:highlight w:val="white"/>
          <w:rtl w:val="0"/>
        </w:rPr>
        <w:t xml:space="preserve"> C-SSRS, EQ-5D-5L, SSQOL, and MoCA.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Olalla y Claudia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Sub inv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-  nihss, mrs, BI y toast, aspects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Adriano y Renato - sub inv responsables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Clinical Evaluator: </w:t>
      </w:r>
      <w:r w:rsidDel="00000000" w:rsidR="00000000" w:rsidRPr="00000000">
        <w:rPr>
          <w:color w:val="222222"/>
          <w:highlight w:val="white"/>
          <w:rtl w:val="0"/>
        </w:rPr>
        <w:t xml:space="preserve">Administering the NIHSS, mRS, BI, and TOAST.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Radiology Rater:  </w:t>
      </w:r>
      <w:r w:rsidDel="00000000" w:rsidR="00000000" w:rsidRPr="00000000">
        <w:rPr>
          <w:color w:val="222222"/>
          <w:highlight w:val="white"/>
          <w:rtl w:val="0"/>
        </w:rPr>
        <w:t xml:space="preserve">Completing the ASPECTS.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Resto sub inv delegados: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Noe Rodriguez</w:t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Federica Rizzo</w:t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Nicoletta Brunelli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