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TICH-3: acid tranexamic for intracerebral hemorrhage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TICH-3 EU CTIS: 2022-500587-35-01</w:t>
      </w:r>
    </w:p>
    <w:p w:rsidR="00000000" w:rsidDel="00000000" w:rsidP="00000000" w:rsidRDefault="00000000" w:rsidRPr="00000000" w14:paraId="00000005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Promotor: University of Nottingham</w:t>
      </w:r>
    </w:p>
    <w:p w:rsidR="00000000" w:rsidDel="00000000" w:rsidP="00000000" w:rsidRDefault="00000000" w:rsidRPr="00000000" w14:paraId="00000006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IP principal: Nikola Sprigg</w:t>
      </w:r>
    </w:p>
    <w:p w:rsidR="00000000" w:rsidDel="00000000" w:rsidP="00000000" w:rsidRDefault="00000000" w:rsidRPr="00000000" w14:paraId="00000007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IP centro: David Rodríguez Luna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C802: Hospital Universitari Vall d'Hebron, Barcelona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Objetivo principal: Evaluar la efectividad clínica del ácido tranexámico después de la HIC y determinar si el ácido tranexámico debe usarse en la práctica clínica.</w:t>
      </w:r>
    </w:p>
    <w:p w:rsidR="00000000" w:rsidDel="00000000" w:rsidP="00000000" w:rsidRDefault="00000000" w:rsidRPr="00000000" w14:paraId="0000000B">
      <w:pPr>
        <w:widowControl w:val="0"/>
        <w:spacing w:before="200" w:line="216" w:lineRule="auto"/>
        <w:rPr/>
      </w:pPr>
      <w:sdt>
        <w:sdtPr>
          <w:id w:val="8683594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Objetivo primario: Evaluar el efecto del ácido tranexámico en la mortalidad precoz (≤7 días)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  <w:t xml:space="preserve">Objetivo secundario: Evaluar el efecto del ácido tranexámico sobre la dependencia funcional a los 6 meses de la HIC.</w:t>
      </w:r>
    </w:p>
    <w:p w:rsidR="00000000" w:rsidDel="00000000" w:rsidP="00000000" w:rsidRDefault="00000000" w:rsidRPr="00000000" w14:paraId="0000000D">
      <w:pPr>
        <w:widowControl w:val="0"/>
        <w:spacing w:before="200"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Consentimiento:</w:t>
      </w:r>
      <w:r w:rsidDel="00000000" w:rsidR="00000000" w:rsidRPr="00000000">
        <w:rPr>
          <w:rtl w:val="0"/>
        </w:rPr>
        <w:t xml:space="preserve"> está permitido el consentimiento de urgencias (oral con registro en HC y después se debe firmar el CI paciente/familiar) </w:t>
      </w:r>
    </w:p>
    <w:p w:rsidR="00000000" w:rsidDel="00000000" w:rsidP="00000000" w:rsidRDefault="00000000" w:rsidRPr="00000000" w14:paraId="0000000F">
      <w:pPr>
        <w:widowControl w:val="0"/>
        <w:spacing w:before="200" w:line="21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Randomización:</w:t>
      </w:r>
      <w:r w:rsidDel="00000000" w:rsidR="00000000" w:rsidRPr="00000000">
        <w:rPr>
          <w:rtl w:val="0"/>
        </w:rPr>
        <w:t xml:space="preserve"> no hay aplicativo como tal.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Coger el kit de medicación con menor número (NÚMERO DEL KIT).</w:t>
      </w:r>
    </w:p>
    <w:p w:rsidR="00000000" w:rsidDel="00000000" w:rsidP="00000000" w:rsidRDefault="00000000" w:rsidRPr="00000000" w14:paraId="00000010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9050" distT="19050" distL="19050" distR="19050">
            <wp:extent cx="2534217" cy="1665608"/>
            <wp:effectExtent b="9525" l="9525" r="9525" t="9525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7796" l="10532" r="8001" t="21805"/>
                    <a:stretch>
                      <a:fillRect/>
                    </a:stretch>
                  </pic:blipFill>
                  <pic:spPr>
                    <a:xfrm>
                      <a:off x="0" y="0"/>
                      <a:ext cx="2534217" cy="1665608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 Después, cuando se pueda,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entrar en el código QR y registrar la randomización mediante la introducción del kit del fármaco</w:t>
      </w:r>
      <w:r w:rsidDel="00000000" w:rsidR="00000000" w:rsidRPr="00000000">
        <w:rPr>
          <w:b w:val="1"/>
          <w:bCs w:val="1"/>
          <w:rtl w:val="0"/>
        </w:rPr>
        <w:t xml:space="preserve"> + iniciales del paciente + iniciales del investigador que ha incluido el paciente</w:t>
      </w:r>
    </w:p>
    <w:p w:rsidR="00000000" w:rsidDel="00000000" w:rsidP="00000000" w:rsidRDefault="00000000" w:rsidRPr="00000000" w14:paraId="00000013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33888" cy="17676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76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0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Intervención: </w:t>
      </w:r>
      <w:r w:rsidDel="00000000" w:rsidR="00000000" w:rsidRPr="00000000">
        <w:rPr>
          <w:rtl w:val="0"/>
        </w:rPr>
        <w:t xml:space="preserve">Ac. tranexámico vs. placebo</w:t>
      </w:r>
    </w:p>
    <w:p w:rsidR="00000000" w:rsidDel="00000000" w:rsidP="00000000" w:rsidRDefault="00000000" w:rsidRPr="00000000" w14:paraId="00000016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del fármaco (está en la NEVERA DE ENSAYOS):</w:t>
      </w:r>
    </w:p>
    <w:p w:rsidR="00000000" w:rsidDel="00000000" w:rsidP="00000000" w:rsidRDefault="00000000" w:rsidRPr="00000000" w14:paraId="00000017">
      <w:pPr>
        <w:widowControl w:val="0"/>
        <w:spacing w:before="20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Ácido tranexámico </w:t>
      </w:r>
      <w:r w:rsidDel="00000000" w:rsidR="00000000" w:rsidRPr="00000000">
        <w:rPr>
          <w:rtl w:val="0"/>
        </w:rPr>
        <w:t xml:space="preserve">(no es necesario almacenar en nevera, temperatura ambiente)</w:t>
      </w:r>
    </w:p>
    <w:p w:rsidR="00000000" w:rsidDel="00000000" w:rsidP="00000000" w:rsidRDefault="00000000" w:rsidRPr="00000000" w14:paraId="00000018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BOLUS: 1g ac. tranexámico en 100mL de SF, a pasar en 10 minutos</w:t>
      </w:r>
    </w:p>
    <w:p w:rsidR="00000000" w:rsidDel="00000000" w:rsidP="00000000" w:rsidRDefault="00000000" w:rsidRPr="00000000" w14:paraId="00000019">
      <w:pPr>
        <w:widowControl w:val="0"/>
        <w:spacing w:before="20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PERFUSIÓN:  </w:t>
      </w:r>
      <w:r w:rsidDel="00000000" w:rsidR="00000000" w:rsidRPr="00000000">
        <w:rPr>
          <w:rtl w:val="0"/>
        </w:rPr>
        <w:t xml:space="preserve">1 g ac. tranexámico a diluir en 250 ml durante 8 horas</w:t>
      </w:r>
    </w:p>
    <w:p w:rsidR="00000000" w:rsidDel="00000000" w:rsidP="00000000" w:rsidRDefault="00000000" w:rsidRPr="00000000" w14:paraId="0000001A">
      <w:pPr>
        <w:widowControl w:val="0"/>
        <w:spacing w:before="200" w:line="21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** administrar brazo contrario al tratamiento antihipertensivo / rev ACO</w:t>
      </w:r>
    </w:p>
    <w:p w:rsidR="00000000" w:rsidDel="00000000" w:rsidP="00000000" w:rsidRDefault="00000000" w:rsidRPr="00000000" w14:paraId="0000001B">
      <w:pPr>
        <w:widowControl w:val="0"/>
        <w:spacing w:before="200" w:line="21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Independientemente del fármaco de estudio, realizar tratamiento de la PA y se puede administrar reversores ACO si HIC en relación a anticoagulación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del paciente durante el estudio:</w:t>
      </w:r>
      <w:r w:rsidDel="00000000" w:rsidR="00000000" w:rsidRPr="00000000">
        <w:rPr>
          <w:rtl w:val="0"/>
        </w:rPr>
        <w:t xml:space="preserve"> hasta los 6 meses post HIC, visitas telefónicas.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Criterios de inclusión: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40" w:line="276" w:lineRule="auto"/>
        <w:ind w:left="720" w:hanging="36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HIC aguda espontánea, confirmada en TC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(pacientes con solo IVH, no incluir)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76" w:lineRule="auto"/>
        <w:ind w:left="720" w:hanging="360"/>
        <w:rPr/>
      </w:pPr>
      <w:bookmarkStart w:colFirst="0" w:colLast="0" w:name="_heading=h.1fob9te" w:id="2"/>
      <w:bookmarkEnd w:id="2"/>
      <w:r w:rsidDel="00000000" w:rsidR="00000000" w:rsidRPr="00000000">
        <w:rPr>
          <w:highlight w:val="green"/>
          <w:rtl w:val="0"/>
        </w:rPr>
        <w:t xml:space="preserve">&lt;4.5h</w:t>
      </w:r>
      <w:r w:rsidDel="00000000" w:rsidR="00000000" w:rsidRPr="00000000">
        <w:rPr>
          <w:rtl w:val="0"/>
        </w:rPr>
        <w:t xml:space="preserve"> de evolución desde el inicio de los síntomas o de última vez visto normal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Pacientes que tomen </w:t>
      </w:r>
      <w:r w:rsidDel="00000000" w:rsidR="00000000" w:rsidRPr="00000000">
        <w:rPr>
          <w:highlight w:val="green"/>
          <w:rtl w:val="0"/>
        </w:rPr>
        <w:t xml:space="preserve">anticoagulantes orales de acción directa, pueden incluirse (incluso con reversión con complejo protrombínico o idarucizumab)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 de exclusión: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Volumen HIC </w:t>
      </w:r>
      <w:r w:rsidDel="00000000" w:rsidR="00000000" w:rsidRPr="00000000">
        <w:rPr>
          <w:highlight w:val="magenta"/>
          <w:rtl w:val="0"/>
        </w:rPr>
        <w:t xml:space="preserve">&gt;60mL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Coma severo (escala de coma de </w:t>
      </w:r>
      <w:r w:rsidDel="00000000" w:rsidR="00000000" w:rsidRPr="00000000">
        <w:rPr>
          <w:highlight w:val="magenta"/>
          <w:rtl w:val="0"/>
        </w:rPr>
        <w:t xml:space="preserve">Glasgow &lt;5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Indicación conocida para el tratamiento de ácido tranexámico (por ejemplo, lesión cerebral traumática).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Contraindicación para el ácido tranexámico según criterio  del equipo médico que lo trate. Es decir, cuando la contraindicación supere el riesgo de administrar TXA a un paciente como tratamiento de emergencia de la HIC: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a. Convulsiones activas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b. Diagnóstico actual de trombosis venosa o arterial aguda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c. Hipersensibilidad al ácido tranexámico o suero fisiológico normal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Pacientes con causa secundaria conocida, como malformación arteriovenosa, aneurisma, tumor. No es necesario excluir una anomalía estructural subyacente antes de la inclusión, pero si es conocida, no se debe incluir a estos pacientes.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Paciente en tratamiento con anticoagulación terapéutica con </w:t>
      </w:r>
      <w:r w:rsidDel="00000000" w:rsidR="00000000" w:rsidRPr="00000000">
        <w:rPr>
          <w:highlight w:val="magenta"/>
          <w:rtl w:val="0"/>
        </w:rPr>
        <w:t xml:space="preserve">acenocumarol/warfarina </w:t>
      </w:r>
      <w:r w:rsidDel="00000000" w:rsidR="00000000" w:rsidRPr="00000000">
        <w:rPr>
          <w:rtl w:val="0"/>
        </w:rPr>
        <w:t xml:space="preserve">o heparina de bajo peso molecular en el momento de la inclusión. No se excluirá a los pacientes que toman anticoagulantes orales de acción directa.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Limitación del esfuerzo terapéutico o cuidados paliativos (final de la vida) con retirada del tratamiento activo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VISITAS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Visita randomización: </w:t>
      </w:r>
      <w:r w:rsidDel="00000000" w:rsidR="00000000" w:rsidRPr="00000000">
        <w:rPr>
          <w:rtl w:val="0"/>
        </w:rPr>
        <w:t xml:space="preserve">práctica clínica habitual (TC, AngioTC / tto PA/ rev ACO si aplica) + administración fármaco estudio + EQ-5D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24h</w:t>
      </w:r>
      <w:r w:rsidDel="00000000" w:rsidR="00000000" w:rsidRPr="00000000">
        <w:rPr>
          <w:rtl w:val="0"/>
        </w:rPr>
        <w:t xml:space="preserve"> - TC de control como protocolo de nuestro centro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Visita 7d: </w:t>
      </w:r>
      <w:r w:rsidDel="00000000" w:rsidR="00000000" w:rsidRPr="00000000">
        <w:rPr>
          <w:rtl w:val="0"/>
        </w:rPr>
        <w:t xml:space="preserve">exploración neurológica, SAES, registrar fecha y destino al alta, etiología de la HIC, mRS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 180d - realizada por VH-centro coordinador: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mRS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EQ-5D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Escala AD-8 cognitiva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de inclusión en el ENSAYO CLÍNICO TICH-3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(ácido tranexámico vs. placebo en pacientes con HIC aguda)</w:t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Fecha: , Hora:</w:t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Cumpliendo todos los criterios de inclusión y ninguno de exclusión,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explica al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paciente o al familiar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el estudio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TICH-3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y se le concede tiempo para resolver dudas. El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paciente/familiar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acepta participar en el estudio y firma el consentimiento</w:t>
      </w:r>
      <w:r w:rsidDel="00000000" w:rsidR="00000000" w:rsidRPr="00000000">
        <w:rPr>
          <w:rFonts w:ascii="Calibri" w:cs="Calibri" w:eastAsia="Calibri" w:hAnsi="Calibri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ICF, V.2, del 21/03/2023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y se le entrega copia (fecha: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__/__/___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 antes de la realización de ningún procedimiento del estudio. Se procede a la inclusión en el estudio.</w:t>
      </w:r>
    </w:p>
    <w:p w:rsidR="00000000" w:rsidDel="00000000" w:rsidP="00000000" w:rsidRDefault="00000000" w:rsidRPr="00000000" w14:paraId="00000059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Paciente de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XX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años, caucásico, no hispano/latino. Presenta antecedentes médicos de………. y quirúrgicos ……... </w:t>
      </w:r>
    </w:p>
    <w:p w:rsidR="00000000" w:rsidDel="00000000" w:rsidP="00000000" w:rsidRDefault="00000000" w:rsidRPr="00000000" w14:paraId="0000005B">
      <w:pPr>
        <w:widowControl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Hábito tabáquico: 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No/Si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(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cig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/día durante </w:t>
      </w:r>
      <w:r w:rsidDel="00000000" w:rsidR="00000000" w:rsidRPr="00000000">
        <w:rPr>
          <w:color w:val="222222"/>
          <w:sz w:val="19"/>
          <w:szCs w:val="19"/>
          <w:highlight w:val="yellow"/>
          <w:rtl w:val="0"/>
        </w:rPr>
        <w:t xml:space="preserve">XX</w:t>
      </w: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 años)</w:t>
      </w:r>
    </w:p>
    <w:p w:rsidR="00000000" w:rsidDel="00000000" w:rsidP="00000000" w:rsidRDefault="00000000" w:rsidRPr="00000000" w14:paraId="0000005D">
      <w:pPr>
        <w:widowControl w:val="0"/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mRS previo:  ….</w:t>
      </w:r>
    </w:p>
    <w:p w:rsidR="00000000" w:rsidDel="00000000" w:rsidP="00000000" w:rsidRDefault="00000000" w:rsidRPr="00000000" w14:paraId="0000005E">
      <w:pPr>
        <w:widowControl w:val="0"/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Escala EQ-5D previa: ___</w:t>
      </w:r>
    </w:p>
    <w:p w:rsidR="00000000" w:rsidDel="00000000" w:rsidP="00000000" w:rsidRDefault="00000000" w:rsidRPr="00000000" w14:paraId="0000005F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Consulta por cuadro de inicio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hoy ( o fecha xx/xx/2024 ) a las ...: … h (o incluir hora de la última vez visto normal) 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por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alteración del lenguaje, PFSN I y hemiparesia izquierda. No episodios previos similares. Niega otra sintomatología</w:t>
      </w:r>
    </w:p>
    <w:p w:rsidR="00000000" w:rsidDel="00000000" w:rsidP="00000000" w:rsidRDefault="00000000" w:rsidRPr="00000000" w14:paraId="00000061">
      <w:pPr>
        <w:widowControl w:val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 llegada hospitalaria, presenta  (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 PA: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 /__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mmHg, FC: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lpm, FR: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rpm, Tª: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ºC. Exploración física: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Talla: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_____ 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Peso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: _____kg.</w:t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Exploración neurológica: 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GCS: O /V /M (detallar puntuaciones parciales y total). 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Vigil, atento y orientado. No alteraciones del lenguaje. No alteraciones campimétricas. MOEs normales, sin nistagmo. Balance motor normal. No alteraciones sensibilidad táctil. No dismetrías. Marcha normal. NIHSS ……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-TC craneal/AngioTC: ___ (indicar localización, lateralización, volumen HIC con ABC/2 y puntuación en escala HIV y si hay presencia de spot sign)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Hora 0: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se aleatoriza al paciente y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se inicia el tratamiento mediante bolus y perfusión continua durante 8h.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Hora incio bolus: ____; </w:t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color w:val="222222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Hora de inicio de la perfusión: 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Identificación Kit de medicación administrado: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7D: ensayo clínico TICH-3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Fecha: , Hora: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Exploración neurológica en el día 7:</w:t>
      </w:r>
    </w:p>
    <w:p w:rsidR="00000000" w:rsidDel="00000000" w:rsidP="00000000" w:rsidRDefault="00000000" w:rsidRPr="00000000" w14:paraId="00000072">
      <w:pPr>
        <w:widowControl w:val="0"/>
        <w:jc w:val="both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PA (2 mediciones): </w:t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GCS: </w:t>
      </w:r>
      <w:r w:rsidDel="00000000" w:rsidR="00000000" w:rsidRPr="00000000">
        <w:rPr>
          <w:rFonts w:ascii="Calibri" w:cs="Calibri" w:eastAsia="Calibri" w:hAnsi="Calibri"/>
          <w:color w:val="222222"/>
          <w:highlight w:val="yellow"/>
          <w:rtl w:val="0"/>
        </w:rPr>
        <w:t xml:space="preserve"> O /V /M (detallar puntuaciones parciales y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Calibri" w:cs="Calibri" w:eastAsia="Calibri" w:hAnsi="Calibri"/>
          <w:b w:val="1"/>
          <w:bCs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NIHSS:</w:t>
      </w:r>
    </w:p>
    <w:p w:rsidR="00000000" w:rsidDel="00000000" w:rsidP="00000000" w:rsidRDefault="00000000" w:rsidRPr="00000000" w14:paraId="00000075">
      <w:pPr>
        <w:widowControl w:val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paciente ha sido dado de alta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 a_______ (destino alta)</w:t>
      </w:r>
    </w:p>
    <w:p w:rsidR="00000000" w:rsidDel="00000000" w:rsidP="00000000" w:rsidRDefault="00000000" w:rsidRPr="00000000" w14:paraId="00000076">
      <w:pPr>
        <w:widowControl w:val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mRS al alta: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_____ (si mRS 6, especificar fecha de la muerte)</w:t>
      </w:r>
    </w:p>
    <w:p w:rsidR="00000000" w:rsidDel="00000000" w:rsidP="00000000" w:rsidRDefault="00000000" w:rsidRPr="00000000" w14:paraId="00000077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AEs/ SAEs: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(detallar grado AE/SAE,  fecha de inicio y fin, y si existe o no relación con el fármaco del estudio).</w:t>
      </w:r>
    </w:p>
    <w:p w:rsidR="00000000" w:rsidDel="00000000" w:rsidP="00000000" w:rsidRDefault="00000000" w:rsidRPr="00000000" w14:paraId="00000078">
      <w:pPr>
        <w:widowControl w:val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Etiología de la HIC: </w:t>
      </w:r>
    </w:p>
    <w:p w:rsidR="00000000" w:rsidDel="00000000" w:rsidP="00000000" w:rsidRDefault="00000000" w:rsidRPr="00000000" w14:paraId="0000007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Visita 180D: ensayo clínico TICH-3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mRS 180d: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(si mRS 6, especificar fecha de la muerte)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Escala EQ-5D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Escala AD-8 cognitiva</w:t>
      </w:r>
    </w:p>
    <w:p w:rsidR="00000000" w:rsidDel="00000000" w:rsidP="00000000" w:rsidRDefault="00000000" w:rsidRPr="00000000" w14:paraId="0000007E">
      <w:pPr>
        <w:spacing w:after="24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ZxYmXv0hRxRmDlYkNxNVGlPHQ==">CgMxLjAaJAoBMBIfCh0IB0IZCgVBcmltbxIQQXJpYWwgVW5pY29kZSBNUzIIaC5namRneHMyCWguMzBqMHpsbDIJaC4xZm9iOXRlOAByITFRTGUwdGtudmh2WHIzbUM3SzE3b215MjgzQ0lJNnNnNQ==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