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color w:val="202124"/>
          <w:sz w:val="20"/>
          <w:szCs w:val="20"/>
          <w:highlight w:val="white"/>
        </w:rPr>
      </w:pPr>
      <w:r w:rsidDel="00000000" w:rsidR="00000000" w:rsidRPr="00000000">
        <w:rPr>
          <w:b w:val="1"/>
          <w:bCs w:val="1"/>
          <w:sz w:val="20"/>
          <w:szCs w:val="20"/>
          <w:rtl w:val="0"/>
        </w:rPr>
        <w:t xml:space="preserve">Web de randomización: </w:t>
      </w:r>
      <w:hyperlink r:id="rId6">
        <w:r w:rsidDel="00000000" w:rsidR="00000000" w:rsidRPr="00000000">
          <w:rPr>
            <w:color w:val="1155cc"/>
            <w:sz w:val="20"/>
            <w:szCs w:val="20"/>
            <w:highlight w:val="white"/>
            <w:u w:val="single"/>
            <w:rtl w:val="0"/>
          </w:rPr>
          <w:t xml:space="preserve">https://www.studyrandomizer.com/</w:t>
        </w:r>
      </w:hyperlink>
      <w:r w:rsidDel="00000000" w:rsidR="00000000" w:rsidRPr="00000000">
        <w:rPr>
          <w:rtl w:val="0"/>
        </w:rPr>
      </w:r>
    </w:p>
    <w:p w:rsidR="00000000" w:rsidDel="00000000" w:rsidP="00000000" w:rsidRDefault="00000000" w:rsidRPr="00000000" w14:paraId="00000002">
      <w:pPr>
        <w:spacing w:after="200" w:line="276" w:lineRule="auto"/>
        <w:ind w:left="720" w:firstLine="0"/>
        <w:rPr>
          <w:sz w:val="20"/>
          <w:szCs w:val="20"/>
        </w:rPr>
      </w:pPr>
      <w:r w:rsidDel="00000000" w:rsidR="00000000" w:rsidRPr="00000000">
        <w:rPr>
          <w:b w:val="1"/>
          <w:bCs w:val="1"/>
          <w:sz w:val="20"/>
          <w:szCs w:val="20"/>
          <w:rtl w:val="0"/>
        </w:rPr>
        <w:t xml:space="preserve">User:</w:t>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miriam.correa@vhir.org</w:t>
        </w:r>
      </w:hyperlink>
      <w:r w:rsidDel="00000000" w:rsidR="00000000" w:rsidRPr="00000000">
        <w:rPr>
          <w:rtl w:val="0"/>
        </w:rPr>
      </w:r>
    </w:p>
    <w:p w:rsidR="00000000" w:rsidDel="00000000" w:rsidP="00000000" w:rsidRDefault="00000000" w:rsidRPr="00000000" w14:paraId="00000003">
      <w:pPr>
        <w:spacing w:after="200" w:line="276" w:lineRule="auto"/>
        <w:ind w:left="720" w:firstLine="0"/>
        <w:rPr>
          <w:sz w:val="20"/>
          <w:szCs w:val="20"/>
        </w:rPr>
      </w:pPr>
      <w:r w:rsidDel="00000000" w:rsidR="00000000" w:rsidRPr="00000000">
        <w:rPr>
          <w:b w:val="1"/>
          <w:bCs w:val="1"/>
          <w:sz w:val="20"/>
          <w:szCs w:val="20"/>
          <w:rtl w:val="0"/>
        </w:rPr>
        <w:t xml:space="preserve">Pasword:</w:t>
      </w:r>
      <w:r w:rsidDel="00000000" w:rsidR="00000000" w:rsidRPr="00000000">
        <w:rPr>
          <w:sz w:val="20"/>
          <w:szCs w:val="20"/>
          <w:rtl w:val="0"/>
        </w:rPr>
        <w:t xml:space="preserve"> Ictus2025. </w:t>
      </w:r>
    </w:p>
    <w:p w:rsidR="00000000" w:rsidDel="00000000" w:rsidP="00000000" w:rsidRDefault="00000000" w:rsidRPr="00000000" w14:paraId="00000004">
      <w:pPr>
        <w:spacing w:after="200" w:line="276" w:lineRule="auto"/>
        <w:ind w:left="720" w:firstLine="0"/>
        <w:rPr>
          <w:sz w:val="20"/>
          <w:szCs w:val="20"/>
        </w:rPr>
      </w:pPr>
      <w:r w:rsidDel="00000000" w:rsidR="00000000" w:rsidRPr="00000000">
        <w:rPr>
          <w:rtl w:val="0"/>
        </w:rPr>
      </w:r>
    </w:p>
    <w:p w:rsidR="00000000" w:rsidDel="00000000" w:rsidP="00000000" w:rsidRDefault="00000000" w:rsidRPr="00000000" w14:paraId="00000005">
      <w:pPr>
        <w:spacing w:after="200" w:line="276" w:lineRule="auto"/>
        <w:ind w:left="720" w:firstLine="0"/>
        <w:rPr>
          <w:sz w:val="20"/>
          <w:szCs w:val="20"/>
        </w:rPr>
      </w:pPr>
      <w:r w:rsidDel="00000000" w:rsidR="00000000" w:rsidRPr="00000000">
        <w:rPr>
          <w:b w:val="1"/>
          <w:bCs w:val="1"/>
          <w:sz w:val="20"/>
          <w:szCs w:val="20"/>
          <w:rtl w:val="0"/>
        </w:rPr>
        <w:t xml:space="preserve">Redcap:</w:t>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https://redcap.vhir.org/redcap/index.php</w:t>
        </w:r>
      </w:hyperlink>
      <w:r w:rsidDel="00000000" w:rsidR="00000000" w:rsidRPr="00000000">
        <w:rPr>
          <w:rtl w:val="0"/>
        </w:rPr>
      </w:r>
    </w:p>
    <w:p w:rsidR="00000000" w:rsidDel="00000000" w:rsidP="00000000" w:rsidRDefault="00000000" w:rsidRPr="00000000" w14:paraId="00000006">
      <w:pPr>
        <w:spacing w:after="200" w:line="276" w:lineRule="auto"/>
        <w:ind w:left="720" w:firstLine="0"/>
        <w:rPr>
          <w:sz w:val="20"/>
          <w:szCs w:val="20"/>
        </w:rPr>
      </w:pPr>
      <w:r w:rsidDel="00000000" w:rsidR="00000000" w:rsidRPr="00000000">
        <w:rPr>
          <w:rtl w:val="0"/>
        </w:rPr>
      </w:r>
    </w:p>
    <w:p w:rsidR="00000000" w:rsidDel="00000000" w:rsidP="00000000" w:rsidRDefault="00000000" w:rsidRPr="00000000" w14:paraId="00000007">
      <w:pPr>
        <w:spacing w:after="200" w:line="276" w:lineRule="auto"/>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User</w:t>
      </w:r>
      <w:r w:rsidDel="00000000" w:rsidR="00000000" w:rsidRPr="00000000">
        <w:rPr>
          <w:sz w:val="20"/>
          <w:szCs w:val="20"/>
          <w:rtl w:val="0"/>
        </w:rPr>
        <w:t xml:space="preserve">: francesco.diana</w:t>
      </w:r>
    </w:p>
    <w:p w:rsidR="00000000" w:rsidDel="00000000" w:rsidP="00000000" w:rsidRDefault="00000000" w:rsidRPr="00000000" w14:paraId="00000008">
      <w:pPr>
        <w:spacing w:after="200" w:line="276" w:lineRule="auto"/>
        <w:ind w:left="720" w:firstLine="0"/>
        <w:rPr>
          <w:sz w:val="20"/>
          <w:szCs w:val="20"/>
        </w:rPr>
      </w:pPr>
      <w:r w:rsidDel="00000000" w:rsidR="00000000" w:rsidRPr="00000000">
        <w:rPr>
          <w:b w:val="1"/>
          <w:bCs w:val="1"/>
          <w:sz w:val="20"/>
          <w:szCs w:val="20"/>
          <w:rtl w:val="0"/>
        </w:rPr>
        <w:t xml:space="preserve">Password:</w:t>
      </w:r>
      <w:r w:rsidDel="00000000" w:rsidR="00000000" w:rsidRPr="00000000">
        <w:rPr>
          <w:sz w:val="20"/>
          <w:szCs w:val="20"/>
          <w:rtl w:val="0"/>
        </w:rPr>
        <w:t xml:space="preserve"> Nefeli30*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Criterios de inclusión: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Edad ≥18 </w:t>
      </w:r>
    </w:p>
    <w:p w:rsidR="00000000" w:rsidDel="00000000" w:rsidP="00000000" w:rsidRDefault="00000000" w:rsidRPr="00000000" w14:paraId="0000000E">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Consentimiento informado obtenido del paciente o de un sustituto aceptable del paciente (es decir, el pariente más cercano o el representante legal).</w:t>
      </w:r>
    </w:p>
    <w:p w:rsidR="00000000" w:rsidDel="00000000" w:rsidP="00000000" w:rsidRDefault="00000000" w:rsidRPr="00000000" w14:paraId="0000000F">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Un nuevo déficit neurológico focal incapacitante compatible con una isquemia cerebral aguda.</w:t>
      </w:r>
    </w:p>
    <w:p w:rsidR="00000000" w:rsidDel="00000000" w:rsidP="00000000" w:rsidRDefault="00000000" w:rsidRPr="00000000" w14:paraId="00000010">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NIHSS basal obtenido antes del procedimiento ≥ 6 puntos.</w:t>
      </w:r>
    </w:p>
    <w:p w:rsidR="00000000" w:rsidDel="00000000" w:rsidP="00000000" w:rsidRDefault="00000000" w:rsidRPr="00000000" w14:paraId="00000011">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Puntuación mRS preictal de 0 o 2.</w:t>
      </w:r>
    </w:p>
    <w:p w:rsidR="00000000" w:rsidDel="00000000" w:rsidP="00000000" w:rsidRDefault="00000000" w:rsidRPr="00000000" w14:paraId="00000012">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Tratable lo antes posible y al menos dentro de las 24 horas siguientes al inicio de los síntomas, definido como el momento en que el paciente fue visto bien por última vez (en la línea de base).  </w:t>
      </w:r>
    </w:p>
    <w:p w:rsidR="00000000" w:rsidDel="00000000" w:rsidP="00000000" w:rsidRDefault="00000000" w:rsidRPr="00000000" w14:paraId="00000013">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pacientes para los que está indicada la t-PA IV y que están disponibles para el tratamiento, son tratados con t-PA IV. Para aquellos pacientes para los que está indicado el t-PA IV y que están disponibles para el tratamiento, el t-PA IV debe ser administrado como recomiendan las Guías de la AHA/ASA para el manejo temprano de pacientes con Accidente Cerebrovascular Isquémico Agudo (AIS).</w:t>
      </w:r>
    </w:p>
    <w:p w:rsidR="00000000" w:rsidDel="00000000" w:rsidP="00000000" w:rsidRDefault="00000000" w:rsidRPr="00000000" w14:paraId="00000014">
      <w:pPr>
        <w:spacing w:after="200" w:line="276" w:lineRule="auto"/>
        <w:jc w:val="both"/>
        <w:rPr>
          <w:rFonts w:ascii="Calibri" w:cs="Calibri" w:eastAsia="Calibri" w:hAnsi="Calibri"/>
          <w:u w:val="single"/>
        </w:rPr>
      </w:pPr>
      <w:r w:rsidDel="00000000" w:rsidR="00000000" w:rsidRPr="00000000">
        <w:rPr>
          <w:rFonts w:ascii="Calibri" w:cs="Calibri" w:eastAsia="Calibri" w:hAnsi="Calibri"/>
          <w:u w:val="single"/>
          <w:rtl w:val="0"/>
        </w:rPr>
        <w:t xml:space="preserve">Neuroimageni</w:t>
      </w:r>
    </w:p>
    <w:p w:rsidR="00000000" w:rsidDel="00000000" w:rsidP="00000000" w:rsidRDefault="00000000" w:rsidRPr="00000000" w14:paraId="00000015">
      <w:pPr>
        <w:numPr>
          <w:ilvl w:val="0"/>
          <w:numId w:val="4"/>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Oclusión (flujo TICI 0 o TICI 1), de la arteria carótida interna terminal, segmentos o M1 distal de la arteria cerebral media o basilar, apta para trombectomía mecánica, confirmada en la angiografía convencional.</w:t>
      </w:r>
    </w:p>
    <w:p w:rsidR="00000000" w:rsidDel="00000000" w:rsidP="00000000" w:rsidRDefault="00000000" w:rsidRPr="00000000" w14:paraId="00000016">
      <w:pPr>
        <w:numPr>
          <w:ilvl w:val="0"/>
          <w:numId w:val="4"/>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NRI participantes habrán cumplido una formación sobre el correcto uso de  DS-EVT</w:t>
      </w:r>
    </w:p>
    <w:p w:rsidR="00000000" w:rsidDel="00000000" w:rsidP="00000000" w:rsidRDefault="00000000" w:rsidRPr="00000000" w14:paraId="00000017">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200" w:line="276" w:lineRule="auto"/>
        <w:jc w:val="both"/>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Criterios de exclusión: </w:t>
      </w:r>
    </w:p>
    <w:p w:rsidR="00000000" w:rsidDel="00000000" w:rsidP="00000000" w:rsidRDefault="00000000" w:rsidRPr="00000000" w14:paraId="00000019">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200" w:line="276" w:lineRule="auto"/>
        <w:jc w:val="both"/>
        <w:rPr>
          <w:rFonts w:ascii="Calibri" w:cs="Calibri" w:eastAsia="Calibri" w:hAnsi="Calibri"/>
          <w:u w:val="single"/>
        </w:rPr>
      </w:pPr>
      <w:r w:rsidDel="00000000" w:rsidR="00000000" w:rsidRPr="00000000">
        <w:rPr>
          <w:rFonts w:ascii="Calibri" w:cs="Calibri" w:eastAsia="Calibri" w:hAnsi="Calibri"/>
          <w:u w:val="single"/>
          <w:rtl w:val="0"/>
        </w:rPr>
        <w:t xml:space="preserve">Clínica</w:t>
      </w:r>
    </w:p>
    <w:p w:rsidR="00000000" w:rsidDel="00000000" w:rsidP="00000000" w:rsidRDefault="00000000" w:rsidRPr="00000000" w14:paraId="0000001B">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Discapacidad funcional previa al ictus en la escala de Rankin modificada (mRS &gt;2).</w:t>
      </w:r>
    </w:p>
    <w:p w:rsidR="00000000" w:rsidDel="00000000" w:rsidP="00000000" w:rsidRDefault="00000000" w:rsidRPr="00000000" w14:paraId="0000001C">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Tratamiento inicial con un dispositivo de trombectomía diferente.</w:t>
      </w:r>
    </w:p>
    <w:p w:rsidR="00000000" w:rsidDel="00000000" w:rsidP="00000000" w:rsidRDefault="00000000" w:rsidRPr="00000000" w14:paraId="0000001D">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Síntomas clínicos sugestivos de ictus bilateral o ictus en múltiples territorios.</w:t>
      </w:r>
    </w:p>
    <w:p w:rsidR="00000000" w:rsidDel="00000000" w:rsidP="00000000" w:rsidRDefault="00000000" w:rsidRPr="00000000" w14:paraId="0000001E">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Diátesis hemorrágica conocida, deficiencia de factores de coagulación o tratamiento anticoagulante oral conocido con INR &gt; 3,0. </w:t>
      </w:r>
    </w:p>
    <w:p w:rsidR="00000000" w:rsidDel="00000000" w:rsidP="00000000" w:rsidRDefault="00000000" w:rsidRPr="00000000" w14:paraId="0000001F">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Recuento basal de plaquetas &lt; 50.000.</w:t>
      </w:r>
    </w:p>
    <w:p w:rsidR="00000000" w:rsidDel="00000000" w:rsidP="00000000" w:rsidRDefault="00000000" w:rsidRPr="00000000" w14:paraId="00000020">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Enfermedad grave, avanzada o terminal con una esperanza de vida prevista de menos de seis meses.</w:t>
      </w:r>
    </w:p>
    <w:p w:rsidR="00000000" w:rsidDel="00000000" w:rsidP="00000000" w:rsidRDefault="00000000" w:rsidRPr="00000000" w14:paraId="00000021">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Sujetos con tumores intracraneales identificables. </w:t>
      </w:r>
    </w:p>
    <w:p w:rsidR="00000000" w:rsidDel="00000000" w:rsidP="00000000" w:rsidRDefault="00000000" w:rsidRPr="00000000" w14:paraId="00000022">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Vasculitis cerebral.</w:t>
      </w:r>
    </w:p>
    <w:p w:rsidR="00000000" w:rsidDel="00000000" w:rsidP="00000000" w:rsidRDefault="00000000" w:rsidRPr="00000000" w14:paraId="00000023">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Evidencia de infección sistémica activa.</w:t>
      </w:r>
    </w:p>
    <w:p w:rsidR="00000000" w:rsidDel="00000000" w:rsidP="00000000" w:rsidRDefault="00000000" w:rsidRPr="00000000" w14:paraId="00000024">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Consumo actual conocido de cocaína en el momento del tratamiento. </w:t>
      </w:r>
    </w:p>
    <w:p w:rsidR="00000000" w:rsidDel="00000000" w:rsidP="00000000" w:rsidRDefault="00000000" w:rsidRPr="00000000" w14:paraId="00000025">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Mujer en edad fértil de la que se sepa que está embarazada, y/o en periodo de lactancia, o que tenga una prueba de embarazo positiva en el momento del ingreso.</w:t>
      </w:r>
    </w:p>
    <w:p w:rsidR="00000000" w:rsidDel="00000000" w:rsidP="00000000" w:rsidRDefault="00000000" w:rsidRPr="00000000" w14:paraId="00000026">
      <w:pPr>
        <w:numPr>
          <w:ilvl w:val="0"/>
          <w:numId w:val="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Paciente que participe en un estudio que implique un fármaco o dispositivo en investigación que pueda afectar a este estudio.  </w:t>
      </w:r>
    </w:p>
    <w:p w:rsidR="00000000" w:rsidDel="00000000" w:rsidP="00000000" w:rsidRDefault="00000000" w:rsidRPr="00000000" w14:paraId="00000027">
      <w:pPr>
        <w:numPr>
          <w:ilvl w:val="0"/>
          <w:numId w:val="1"/>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Pacientes que probablemente no estén disponibles para un seguimiento de 90 días (por ejemplo, sin domicilio fijo, visitante del extranjero).</w:t>
      </w:r>
    </w:p>
    <w:p w:rsidR="00000000" w:rsidDel="00000000" w:rsidP="00000000" w:rsidRDefault="00000000" w:rsidRPr="00000000" w14:paraId="00000028">
      <w:pPr>
        <w:spacing w:after="200" w:line="276" w:lineRule="auto"/>
        <w:jc w:val="both"/>
        <w:rPr>
          <w:rFonts w:ascii="Calibri" w:cs="Calibri" w:eastAsia="Calibri" w:hAnsi="Calibri"/>
          <w:u w:val="single"/>
        </w:rPr>
      </w:pPr>
      <w:r w:rsidDel="00000000" w:rsidR="00000000" w:rsidRPr="00000000">
        <w:rPr>
          <w:rFonts w:ascii="Calibri" w:cs="Calibri" w:eastAsia="Calibri" w:hAnsi="Calibri"/>
          <w:u w:val="single"/>
          <w:rtl w:val="0"/>
        </w:rPr>
        <w:t xml:space="preserve">Imágenes neurológicas</w:t>
      </w:r>
    </w:p>
    <w:p w:rsidR="00000000" w:rsidDel="00000000" w:rsidP="00000000" w:rsidRDefault="00000000" w:rsidRPr="00000000" w14:paraId="00000029">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Hipodensidad en la TC o difusión restringida que suponga una puntuación ASPECTS de &lt; 6 en la TC o &lt; 5 en la RMD (RM ponderada por difusión). </w:t>
      </w:r>
    </w:p>
    <w:p w:rsidR="00000000" w:rsidDel="00000000" w:rsidP="00000000" w:rsidRDefault="00000000" w:rsidRPr="00000000" w14:paraId="0000002A">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Evidencia de hemorragia en TAC o RMN (se permite la presencia de microsangrados).</w:t>
      </w:r>
    </w:p>
    <w:p w:rsidR="00000000" w:rsidDel="00000000" w:rsidP="00000000" w:rsidRDefault="00000000" w:rsidRPr="00000000" w14:paraId="0000002B">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Evidencia angiográfica de disección carotídea, estenosis de alto grado que impida el acceso al coágulo o vasculitis.</w:t>
      </w:r>
    </w:p>
    <w:p w:rsidR="00000000" w:rsidDel="00000000" w:rsidP="00000000" w:rsidRDefault="00000000" w:rsidRPr="00000000" w14:paraId="0000002C">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Efecto de masa significativo con desplazamiento de la línea media. </w:t>
      </w:r>
    </w:p>
    <w:p w:rsidR="00000000" w:rsidDel="00000000" w:rsidP="00000000" w:rsidRDefault="00000000" w:rsidRPr="00000000" w14:paraId="0000002D">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Pacientes con lesiones ateroscleróticas intracraneales subyacentes conocidas o sospechadas responsables de la oclusión objetivo.</w:t>
      </w:r>
    </w:p>
    <w:p w:rsidR="00000000" w:rsidDel="00000000" w:rsidP="00000000" w:rsidRDefault="00000000" w:rsidRPr="00000000" w14:paraId="0000002E">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Pacientes con oclusiones en múltiples territorios vasculares (por ejemplo, circulación anterior bilateral o circulación anterior/posterior).</w:t>
      </w:r>
    </w:p>
    <w:p w:rsidR="00000000" w:rsidDel="00000000" w:rsidP="00000000" w:rsidRDefault="00000000" w:rsidRPr="00000000" w14:paraId="0000002F">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Evidencia de tumor intracraneal (excepto pequeños meningiomas).</w:t>
      </w:r>
    </w:p>
    <w:p w:rsidR="00000000" w:rsidDel="00000000" w:rsidP="00000000" w:rsidRDefault="00000000" w:rsidRPr="00000000" w14:paraId="00000030">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Sospecha de disección aórtica, presunción de émbolo séptico o sospecha de endocarditis bacteriana.</w:t>
      </w:r>
    </w:p>
    <w:p w:rsidR="00000000" w:rsidDel="00000000" w:rsidP="00000000" w:rsidRDefault="00000000" w:rsidRPr="00000000" w14:paraId="00000031">
      <w:pPr>
        <w:spacing w:after="200"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3">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4">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5">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6">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7">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8">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9">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A">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B">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C">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D">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E">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3F">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40">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b w:val="1"/>
          <w:bCs w:val="1"/>
          <w:color w:val="222222"/>
          <w:sz w:val="20"/>
          <w:szCs w:val="20"/>
          <w:highlight w:val="white"/>
          <w:rtl w:val="0"/>
        </w:rPr>
        <w:t xml:space="preserve">VISITAS</w:t>
      </w:r>
      <w:r w:rsidDel="00000000" w:rsidR="00000000" w:rsidRPr="00000000">
        <w:rPr>
          <w:rtl w:val="0"/>
        </w:rPr>
      </w:r>
    </w:p>
    <w:p w:rsidR="00000000" w:rsidDel="00000000" w:rsidP="00000000" w:rsidRDefault="00000000" w:rsidRPr="00000000" w14:paraId="00000042">
      <w:pPr>
        <w:spacing w:line="240" w:lineRule="auto"/>
        <w:jc w:val="center"/>
        <w:rPr>
          <w:sz w:val="20"/>
          <w:szCs w:val="20"/>
        </w:rPr>
      </w:pPr>
      <w:r w:rsidDel="00000000" w:rsidR="00000000" w:rsidRPr="00000000">
        <w:rPr>
          <w:rtl w:val="0"/>
        </w:rPr>
      </w:r>
    </w:p>
    <w:p w:rsidR="00000000" w:rsidDel="00000000" w:rsidP="00000000" w:rsidRDefault="00000000" w:rsidRPr="00000000" w14:paraId="00000043">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Visita inicio Estudio TWIN-2-WIN 2 Un estudio aleatorizado para comparar la eficacia clínica de</w:t>
      </w:r>
    </w:p>
    <w:p w:rsidR="00000000" w:rsidDel="00000000" w:rsidP="00000000" w:rsidRDefault="00000000" w:rsidRPr="00000000" w14:paraId="00000044">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trombectomía primaria con doble stent (DS-EVT) frente a trombectomía</w:t>
      </w:r>
    </w:p>
    <w:p w:rsidR="00000000" w:rsidDel="00000000" w:rsidP="00000000" w:rsidRDefault="00000000" w:rsidRPr="00000000" w14:paraId="00000045">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primaria con un stent (SS-EVT) como intento inicial de trombectomía.</w:t>
      </w:r>
    </w:p>
    <w:p w:rsidR="00000000" w:rsidDel="00000000" w:rsidP="00000000" w:rsidRDefault="00000000" w:rsidRPr="00000000" w14:paraId="00000046">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4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48">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49">
      <w:pPr>
        <w:spacing w:line="360" w:lineRule="auto"/>
        <w:rPr>
          <w:b w:val="1"/>
          <w:bCs w:val="1"/>
          <w:sz w:val="20"/>
          <w:szCs w:val="20"/>
        </w:rPr>
      </w:pPr>
      <w:r w:rsidDel="00000000" w:rsidR="00000000" w:rsidRPr="00000000">
        <w:rPr>
          <w:b w:val="1"/>
          <w:bCs w:val="1"/>
          <w:sz w:val="20"/>
          <w:szCs w:val="20"/>
          <w:rtl w:val="0"/>
        </w:rPr>
        <w:t xml:space="preserve"> SI EL CONSENTIMIENTO  ES ESCRITO: </w:t>
      </w:r>
    </w:p>
    <w:p w:rsidR="00000000" w:rsidDel="00000000" w:rsidP="00000000" w:rsidRDefault="00000000" w:rsidRPr="00000000" w14:paraId="0000004A">
      <w:pPr>
        <w:spacing w:line="360" w:lineRule="auto"/>
        <w:rPr>
          <w:sz w:val="20"/>
          <w:szCs w:val="20"/>
        </w:rPr>
      </w:pPr>
      <w:r w:rsidDel="00000000" w:rsidR="00000000" w:rsidRPr="00000000">
        <w:rPr>
          <w:sz w:val="20"/>
          <w:szCs w:val="20"/>
          <w:rtl w:val="0"/>
        </w:rPr>
        <w:t xml:space="preserve">Una vez comprobado que el paciente cumple todos los criterios de inclusión y ninguno de exclusión se decide incluir al paciente en el estudio TWIN-2-WIN 2. Se informa al _______ sobre el  estudio dando  tiempo suficiente para reflexionar sobre su participación y respondiendo dudas, ____ acepta la  participacipación en el estudio. </w:t>
      </w:r>
    </w:p>
    <w:p w:rsidR="00000000" w:rsidDel="00000000" w:rsidP="00000000" w:rsidRDefault="00000000" w:rsidRPr="00000000" w14:paraId="0000004B">
      <w:pPr>
        <w:spacing w:line="360" w:lineRule="auto"/>
        <w:rPr>
          <w:sz w:val="20"/>
          <w:szCs w:val="20"/>
        </w:rPr>
      </w:pPr>
      <w:r w:rsidDel="00000000" w:rsidR="00000000" w:rsidRPr="00000000">
        <w:rPr>
          <w:rtl w:val="0"/>
        </w:rPr>
      </w:r>
    </w:p>
    <w:p w:rsidR="00000000" w:rsidDel="00000000" w:rsidP="00000000" w:rsidRDefault="00000000" w:rsidRPr="00000000" w14:paraId="0000004C">
      <w:pPr>
        <w:spacing w:line="360" w:lineRule="auto"/>
        <w:rPr>
          <w:sz w:val="20"/>
          <w:szCs w:val="20"/>
        </w:rPr>
      </w:pPr>
      <w:r w:rsidDel="00000000" w:rsidR="00000000" w:rsidRPr="00000000">
        <w:rPr>
          <w:sz w:val="20"/>
          <w:szCs w:val="20"/>
          <w:rtl w:val="0"/>
        </w:rPr>
        <w:t xml:space="preserve">El _____ firma y fecha personalmente el consentimiento informado V03  el día xx/xx/xxxx a las xx:xx. Seguidamente, el paciente recibie una copia del consentimiento informado firmado. </w:t>
      </w:r>
    </w:p>
    <w:p w:rsidR="00000000" w:rsidDel="00000000" w:rsidP="00000000" w:rsidRDefault="00000000" w:rsidRPr="00000000" w14:paraId="0000004D">
      <w:pPr>
        <w:spacing w:line="360" w:lineRule="auto"/>
        <w:rPr>
          <w:sz w:val="20"/>
          <w:szCs w:val="20"/>
        </w:rPr>
      </w:pPr>
      <w:r w:rsidDel="00000000" w:rsidR="00000000" w:rsidRPr="00000000">
        <w:rPr>
          <w:rtl w:val="0"/>
        </w:rPr>
      </w:r>
    </w:p>
    <w:p w:rsidR="00000000" w:rsidDel="00000000" w:rsidP="00000000" w:rsidRDefault="00000000" w:rsidRPr="00000000" w14:paraId="0000004E">
      <w:pPr>
        <w:spacing w:line="360" w:lineRule="auto"/>
        <w:rPr>
          <w:sz w:val="20"/>
          <w:szCs w:val="20"/>
        </w:rPr>
      </w:pPr>
      <w:r w:rsidDel="00000000" w:rsidR="00000000" w:rsidRPr="00000000">
        <w:rPr>
          <w:rtl w:val="0"/>
        </w:rPr>
      </w:r>
    </w:p>
    <w:p w:rsidR="00000000" w:rsidDel="00000000" w:rsidP="00000000" w:rsidRDefault="00000000" w:rsidRPr="00000000" w14:paraId="0000004F">
      <w:pPr>
        <w:spacing w:line="360" w:lineRule="auto"/>
        <w:rPr>
          <w:sz w:val="20"/>
          <w:szCs w:val="20"/>
        </w:rPr>
      </w:pPr>
      <w:r w:rsidDel="00000000" w:rsidR="00000000" w:rsidRPr="00000000">
        <w:rPr>
          <w:sz w:val="20"/>
          <w:szCs w:val="20"/>
          <w:rtl w:val="0"/>
        </w:rPr>
        <w:t xml:space="preserve">SI EL CONSENTIMIENTO ES ORAL: </w:t>
      </w:r>
    </w:p>
    <w:p w:rsidR="00000000" w:rsidDel="00000000" w:rsidP="00000000" w:rsidRDefault="00000000" w:rsidRPr="00000000" w14:paraId="00000050">
      <w:pPr>
        <w:spacing w:line="360" w:lineRule="auto"/>
        <w:rPr>
          <w:sz w:val="20"/>
          <w:szCs w:val="20"/>
        </w:rPr>
      </w:pPr>
      <w:r w:rsidDel="00000000" w:rsidR="00000000" w:rsidRPr="00000000">
        <w:rPr>
          <w:rtl w:val="0"/>
        </w:rPr>
      </w:r>
    </w:p>
    <w:p w:rsidR="00000000" w:rsidDel="00000000" w:rsidP="00000000" w:rsidRDefault="00000000" w:rsidRPr="00000000" w14:paraId="00000051">
      <w:pPr>
        <w:spacing w:line="360" w:lineRule="auto"/>
        <w:rPr>
          <w:sz w:val="20"/>
          <w:szCs w:val="20"/>
        </w:rPr>
      </w:pPr>
      <w:r w:rsidDel="00000000" w:rsidR="00000000" w:rsidRPr="00000000">
        <w:rPr>
          <w:rtl w:val="0"/>
        </w:rPr>
      </w:r>
    </w:p>
    <w:p w:rsidR="00000000" w:rsidDel="00000000" w:rsidP="00000000" w:rsidRDefault="00000000" w:rsidRPr="00000000" w14:paraId="00000052">
      <w:pPr>
        <w:spacing w:line="360" w:lineRule="auto"/>
        <w:rPr>
          <w:sz w:val="20"/>
          <w:szCs w:val="20"/>
        </w:rPr>
      </w:pPr>
      <w:r w:rsidDel="00000000" w:rsidR="00000000" w:rsidRPr="00000000">
        <w:rPr>
          <w:sz w:val="20"/>
          <w:szCs w:val="20"/>
          <w:rtl w:val="0"/>
        </w:rPr>
        <w:t xml:space="preserve">El familiar y/o representante del paciente, Sr/Sra. ________________, en condición de ____________ (esposo/a, hijo/a, …) ha sido informado telefónicamente por el Dr./Dra. (Neurólogo) ____________________________ acerca de la participación del paciente ____________________________________ en el estudio TWIN-2-WIN 2, y consiente verbalmente a la inclusión del paciente en el ensayo clínico, a fecha __________ y hora __________. Además, se compromete a firmar en dicho centro, el CI del estudio, donde manifieste el reconsentimiento otorgado telefónicamente con anterioridad.</w:t>
      </w:r>
    </w:p>
    <w:p w:rsidR="00000000" w:rsidDel="00000000" w:rsidP="00000000" w:rsidRDefault="00000000" w:rsidRPr="00000000" w14:paraId="0000005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54">
      <w:pPr>
        <w:numPr>
          <w:ilvl w:val="0"/>
          <w:numId w:val="8"/>
        </w:numPr>
        <w:spacing w:line="240" w:lineRule="auto"/>
        <w:ind w:left="720" w:hanging="360"/>
        <w:rPr>
          <w:color w:val="222222"/>
          <w:sz w:val="20"/>
          <w:szCs w:val="20"/>
        </w:rPr>
      </w:pPr>
      <w:r w:rsidDel="00000000" w:rsidR="00000000" w:rsidRPr="00000000">
        <w:rPr>
          <w:color w:val="222222"/>
          <w:sz w:val="20"/>
          <w:szCs w:val="20"/>
          <w:highlight w:val="white"/>
          <w:rtl w:val="0"/>
        </w:rPr>
        <w:t xml:space="preserve">mRS previo </w:t>
      </w:r>
      <w:r w:rsidDel="00000000" w:rsidR="00000000" w:rsidRPr="00000000">
        <w:rPr>
          <w:rtl w:val="0"/>
        </w:rPr>
      </w:r>
    </w:p>
    <w:p w:rsidR="00000000" w:rsidDel="00000000" w:rsidP="00000000" w:rsidRDefault="00000000" w:rsidRPr="00000000" w14:paraId="00000055">
      <w:pPr>
        <w:numPr>
          <w:ilvl w:val="0"/>
          <w:numId w:val="8"/>
        </w:numPr>
        <w:spacing w:line="240" w:lineRule="auto"/>
        <w:ind w:left="720" w:hanging="360"/>
        <w:rPr>
          <w:color w:val="222222"/>
          <w:sz w:val="20"/>
          <w:szCs w:val="20"/>
        </w:rPr>
      </w:pPr>
      <w:r w:rsidDel="00000000" w:rsidR="00000000" w:rsidRPr="00000000">
        <w:rPr>
          <w:color w:val="222222"/>
          <w:sz w:val="20"/>
          <w:szCs w:val="20"/>
          <w:highlight w:val="white"/>
          <w:rtl w:val="0"/>
        </w:rPr>
        <w:t xml:space="preserve">TA, Tª, altura, peso</w:t>
      </w:r>
      <w:r w:rsidDel="00000000" w:rsidR="00000000" w:rsidRPr="00000000">
        <w:rPr>
          <w:rtl w:val="0"/>
        </w:rPr>
      </w:r>
    </w:p>
    <w:p w:rsidR="00000000" w:rsidDel="00000000" w:rsidP="00000000" w:rsidRDefault="00000000" w:rsidRPr="00000000" w14:paraId="00000056">
      <w:pPr>
        <w:numPr>
          <w:ilvl w:val="0"/>
          <w:numId w:val="8"/>
        </w:numPr>
        <w:spacing w:line="240" w:lineRule="auto"/>
        <w:ind w:left="720" w:hanging="360"/>
        <w:rPr>
          <w:color w:val="222222"/>
          <w:sz w:val="20"/>
          <w:szCs w:val="20"/>
        </w:rPr>
      </w:pPr>
      <w:r w:rsidDel="00000000" w:rsidR="00000000" w:rsidRPr="00000000">
        <w:rPr>
          <w:color w:val="222222"/>
          <w:sz w:val="20"/>
          <w:szCs w:val="20"/>
          <w:highlight w:val="white"/>
          <w:rtl w:val="0"/>
        </w:rPr>
        <w:t xml:space="preserve">Resultado COVID-19 </w:t>
      </w:r>
      <w:r w:rsidDel="00000000" w:rsidR="00000000" w:rsidRPr="00000000">
        <w:rPr>
          <w:rtl w:val="0"/>
        </w:rPr>
      </w:r>
    </w:p>
    <w:p w:rsidR="00000000" w:rsidDel="00000000" w:rsidP="00000000" w:rsidRDefault="00000000" w:rsidRPr="00000000" w14:paraId="00000057">
      <w:pPr>
        <w:numPr>
          <w:ilvl w:val="0"/>
          <w:numId w:val="8"/>
        </w:numPr>
        <w:spacing w:line="240" w:lineRule="auto"/>
        <w:ind w:left="720" w:hanging="360"/>
        <w:rPr>
          <w:color w:val="222222"/>
          <w:sz w:val="20"/>
          <w:szCs w:val="20"/>
        </w:rPr>
      </w:pPr>
      <w:r w:rsidDel="00000000" w:rsidR="00000000" w:rsidRPr="00000000">
        <w:rPr>
          <w:color w:val="222222"/>
          <w:sz w:val="20"/>
          <w:szCs w:val="20"/>
          <w:highlight w:val="white"/>
          <w:rtl w:val="0"/>
        </w:rPr>
        <w:t xml:space="preserve">ASPECTS</w:t>
      </w:r>
      <w:r w:rsidDel="00000000" w:rsidR="00000000" w:rsidRPr="00000000">
        <w:rPr>
          <w:rtl w:val="0"/>
        </w:rPr>
      </w:r>
    </w:p>
    <w:p w:rsidR="00000000" w:rsidDel="00000000" w:rsidP="00000000" w:rsidRDefault="00000000" w:rsidRPr="00000000" w14:paraId="00000058">
      <w:pPr>
        <w:numPr>
          <w:ilvl w:val="0"/>
          <w:numId w:val="8"/>
        </w:numPr>
        <w:spacing w:line="240" w:lineRule="auto"/>
        <w:ind w:left="720" w:hanging="360"/>
        <w:rPr>
          <w:color w:val="222222"/>
          <w:sz w:val="20"/>
          <w:szCs w:val="20"/>
        </w:rPr>
      </w:pPr>
      <w:r w:rsidDel="00000000" w:rsidR="00000000" w:rsidRPr="00000000">
        <w:rPr>
          <w:color w:val="222222"/>
          <w:sz w:val="20"/>
          <w:szCs w:val="20"/>
          <w:highlight w:val="white"/>
          <w:rtl w:val="0"/>
        </w:rPr>
        <w:t xml:space="preserve">NIHSS (desglosado y con fecha y hora exacta)</w:t>
      </w:r>
      <w:r w:rsidDel="00000000" w:rsidR="00000000" w:rsidRPr="00000000">
        <w:rPr>
          <w:rtl w:val="0"/>
        </w:rPr>
      </w:r>
    </w:p>
    <w:p w:rsidR="00000000" w:rsidDel="00000000" w:rsidP="00000000" w:rsidRDefault="00000000" w:rsidRPr="00000000" w14:paraId="00000059">
      <w:pPr>
        <w:numPr>
          <w:ilvl w:val="0"/>
          <w:numId w:val="8"/>
        </w:numPr>
        <w:spacing w:line="240" w:lineRule="auto"/>
        <w:ind w:left="720" w:hanging="360"/>
        <w:rPr>
          <w:color w:val="222222"/>
          <w:sz w:val="20"/>
          <w:szCs w:val="20"/>
        </w:rPr>
      </w:pPr>
      <w:r w:rsidDel="00000000" w:rsidR="00000000" w:rsidRPr="00000000">
        <w:rPr>
          <w:color w:val="222222"/>
          <w:sz w:val="20"/>
          <w:szCs w:val="20"/>
          <w:highlight w:val="white"/>
          <w:rtl w:val="0"/>
        </w:rPr>
        <w:t xml:space="preserve">Resultado de la randomización</w:t>
      </w:r>
      <w:r w:rsidDel="00000000" w:rsidR="00000000" w:rsidRPr="00000000">
        <w:rPr>
          <w:rtl w:val="0"/>
        </w:rPr>
      </w:r>
    </w:p>
    <w:p w:rsidR="00000000" w:rsidDel="00000000" w:rsidP="00000000" w:rsidRDefault="00000000" w:rsidRPr="00000000" w14:paraId="0000005A">
      <w:pPr>
        <w:shd w:fill="ffffff" w:val="clea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5B">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5C">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5D">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5E">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Visita 24h Estudio TWIN-2-WIN 2  Un estudio aleatorizado para comparar la eficacia clínica de</w:t>
      </w:r>
    </w:p>
    <w:p w:rsidR="00000000" w:rsidDel="00000000" w:rsidP="00000000" w:rsidRDefault="00000000" w:rsidRPr="00000000" w14:paraId="0000005F">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trombectomía primaria con doble stent (DS-EVT) frente a trombectomía</w:t>
      </w:r>
    </w:p>
    <w:p w:rsidR="00000000" w:rsidDel="00000000" w:rsidP="00000000" w:rsidRDefault="00000000" w:rsidRPr="00000000" w14:paraId="00000060">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primaria con un stent (SS-EVT) como intento inicial de trombectomía.</w:t>
      </w:r>
    </w:p>
    <w:p w:rsidR="00000000" w:rsidDel="00000000" w:rsidP="00000000" w:rsidRDefault="00000000" w:rsidRPr="00000000" w14:paraId="00000061">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2">
      <w:pPr>
        <w:numPr>
          <w:ilvl w:val="0"/>
          <w:numId w:val="2"/>
        </w:numPr>
        <w:spacing w:line="240" w:lineRule="auto"/>
        <w:ind w:left="720" w:hanging="360"/>
        <w:rPr>
          <w:color w:val="222222"/>
          <w:sz w:val="20"/>
          <w:szCs w:val="20"/>
        </w:rPr>
      </w:pPr>
      <w:r w:rsidDel="00000000" w:rsidR="00000000" w:rsidRPr="00000000">
        <w:rPr>
          <w:color w:val="222222"/>
          <w:sz w:val="20"/>
          <w:szCs w:val="20"/>
          <w:highlight w:val="white"/>
          <w:rtl w:val="0"/>
        </w:rPr>
        <w:t xml:space="preserve">TAC control </w:t>
      </w:r>
      <w:r w:rsidDel="00000000" w:rsidR="00000000" w:rsidRPr="00000000">
        <w:rPr>
          <w:rFonts w:ascii="Wingdings" w:cs="Wingdings" w:eastAsia="Wingdings" w:hAnsi="Wingdings"/>
          <w:color w:val="222222"/>
          <w:sz w:val="20"/>
          <w:szCs w:val="20"/>
          <w:highlight w:val="white"/>
          <w:rtl w:val="0"/>
        </w:rPr>
        <w:t xml:space="preserve">→</w:t>
      </w:r>
      <w:r w:rsidDel="00000000" w:rsidR="00000000" w:rsidRPr="00000000">
        <w:rPr>
          <w:color w:val="222222"/>
          <w:sz w:val="20"/>
          <w:szCs w:val="20"/>
          <w:highlight w:val="white"/>
          <w:rtl w:val="0"/>
        </w:rPr>
        <w:t xml:space="preserve"> Valorar aparición de hemorragias</w:t>
      </w:r>
      <w:r w:rsidDel="00000000" w:rsidR="00000000" w:rsidRPr="00000000">
        <w:rPr>
          <w:rtl w:val="0"/>
        </w:rPr>
      </w:r>
    </w:p>
    <w:p w:rsidR="00000000" w:rsidDel="00000000" w:rsidP="00000000" w:rsidRDefault="00000000" w:rsidRPr="00000000" w14:paraId="00000063">
      <w:pPr>
        <w:numPr>
          <w:ilvl w:val="0"/>
          <w:numId w:val="2"/>
        </w:numPr>
        <w:spacing w:line="240" w:lineRule="auto"/>
        <w:ind w:left="720" w:hanging="360"/>
        <w:rPr>
          <w:color w:val="222222"/>
          <w:sz w:val="20"/>
          <w:szCs w:val="20"/>
        </w:rPr>
      </w:pPr>
      <w:r w:rsidDel="00000000" w:rsidR="00000000" w:rsidRPr="00000000">
        <w:rPr>
          <w:color w:val="222222"/>
          <w:sz w:val="20"/>
          <w:szCs w:val="20"/>
          <w:highlight w:val="white"/>
          <w:rtl w:val="0"/>
        </w:rPr>
        <w:t xml:space="preserve">Valoración del NIHSS (empeoramiento si + 4)</w:t>
      </w: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6">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7">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8">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9">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A">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Visita 5d/alta Estudio TWIN-2-WIN 2 Un estudio aleatorizado para comparar la eficacia clínica de trombectomía primaria con doble stent (DS-EVT) frente a trombectomía</w:t>
      </w:r>
    </w:p>
    <w:p w:rsidR="00000000" w:rsidDel="00000000" w:rsidP="00000000" w:rsidRDefault="00000000" w:rsidRPr="00000000" w14:paraId="0000006B">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primaria con un stent (SS-EVT) como intento inicial de trombectomía. </w:t>
      </w:r>
    </w:p>
    <w:p w:rsidR="00000000" w:rsidDel="00000000" w:rsidP="00000000" w:rsidRDefault="00000000" w:rsidRPr="00000000" w14:paraId="0000006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6D">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6E">
      <w:pPr>
        <w:spacing w:line="240" w:lineRule="auto"/>
        <w:rPr>
          <w:color w:val="222222"/>
          <w:sz w:val="20"/>
          <w:szCs w:val="20"/>
        </w:rPr>
      </w:pPr>
      <w:r w:rsidDel="00000000" w:rsidR="00000000" w:rsidRPr="00000000">
        <w:rPr>
          <w:color w:val="222222"/>
          <w:sz w:val="20"/>
          <w:szCs w:val="20"/>
          <w:highlight w:val="white"/>
          <w:rtl w:val="0"/>
        </w:rPr>
        <w:t xml:space="preserve">mRs</w:t>
      </w:r>
      <w:r w:rsidDel="00000000" w:rsidR="00000000" w:rsidRPr="00000000">
        <w:rPr>
          <w:rtl w:val="0"/>
        </w:rPr>
      </w:r>
    </w:p>
    <w:p w:rsidR="00000000" w:rsidDel="00000000" w:rsidP="00000000" w:rsidRDefault="00000000" w:rsidRPr="00000000" w14:paraId="0000006F">
      <w:pPr>
        <w:numPr>
          <w:ilvl w:val="0"/>
          <w:numId w:val="6"/>
        </w:numPr>
        <w:spacing w:line="240" w:lineRule="auto"/>
        <w:ind w:left="720" w:hanging="360"/>
        <w:rPr>
          <w:color w:val="222222"/>
          <w:sz w:val="20"/>
          <w:szCs w:val="20"/>
        </w:rPr>
      </w:pPr>
      <w:r w:rsidDel="00000000" w:rsidR="00000000" w:rsidRPr="00000000">
        <w:rPr>
          <w:rFonts w:ascii="Arial Unicode MS" w:cs="Arial Unicode MS" w:eastAsia="Arial Unicode MS" w:hAnsi="Arial Unicode MS"/>
          <w:color w:val="222222"/>
          <w:sz w:val="20"/>
          <w:szCs w:val="20"/>
          <w:highlight w:val="white"/>
          <w:rtl w:val="0"/>
        </w:rPr>
        <w:t xml:space="preserve">NIHSS (valorar si hay empeoramiento → +4)</w:t>
      </w:r>
      <w:r w:rsidDel="00000000" w:rsidR="00000000" w:rsidRPr="00000000">
        <w:rPr>
          <w:rtl w:val="0"/>
        </w:rPr>
      </w:r>
    </w:p>
    <w:p w:rsidR="00000000" w:rsidDel="00000000" w:rsidP="00000000" w:rsidRDefault="00000000" w:rsidRPr="00000000" w14:paraId="00000070">
      <w:pPr>
        <w:numPr>
          <w:ilvl w:val="0"/>
          <w:numId w:val="6"/>
        </w:numPr>
        <w:spacing w:line="240" w:lineRule="auto"/>
        <w:ind w:left="720" w:hanging="360"/>
        <w:rPr>
          <w:color w:val="222222"/>
          <w:sz w:val="20"/>
          <w:szCs w:val="20"/>
        </w:rPr>
      </w:pPr>
      <w:r w:rsidDel="00000000" w:rsidR="00000000" w:rsidRPr="00000000">
        <w:rPr>
          <w:color w:val="222222"/>
          <w:sz w:val="20"/>
          <w:szCs w:val="20"/>
          <w:highlight w:val="white"/>
          <w:rtl w:val="0"/>
        </w:rPr>
        <w:t xml:space="preserve">Estado del paciente (ingresado, en casa, UCI, etc)</w:t>
      </w:r>
      <w:r w:rsidDel="00000000" w:rsidR="00000000" w:rsidRPr="00000000">
        <w:rPr>
          <w:rtl w:val="0"/>
        </w:rPr>
      </w:r>
    </w:p>
    <w:p w:rsidR="00000000" w:rsidDel="00000000" w:rsidP="00000000" w:rsidRDefault="00000000" w:rsidRPr="00000000" w14:paraId="00000071">
      <w:pPr>
        <w:numPr>
          <w:ilvl w:val="0"/>
          <w:numId w:val="6"/>
        </w:numPr>
        <w:spacing w:line="240" w:lineRule="auto"/>
        <w:ind w:left="720" w:hanging="360"/>
        <w:rPr>
          <w:color w:val="222222"/>
          <w:sz w:val="20"/>
          <w:szCs w:val="20"/>
        </w:rPr>
      </w:pPr>
      <w:r w:rsidDel="00000000" w:rsidR="00000000" w:rsidRPr="00000000">
        <w:rPr>
          <w:color w:val="222222"/>
          <w:sz w:val="20"/>
          <w:szCs w:val="20"/>
          <w:highlight w:val="white"/>
          <w:rtl w:val="0"/>
        </w:rPr>
        <w:t xml:space="preserve">Otros procedimientos realizados durante la hospitalización</w:t>
      </w:r>
      <w:r w:rsidDel="00000000" w:rsidR="00000000" w:rsidRPr="00000000">
        <w:rPr>
          <w:rtl w:val="0"/>
        </w:rPr>
      </w:r>
    </w:p>
    <w:p w:rsidR="00000000" w:rsidDel="00000000" w:rsidP="00000000" w:rsidRDefault="00000000" w:rsidRPr="00000000" w14:paraId="00000072">
      <w:pPr>
        <w:numPr>
          <w:ilvl w:val="0"/>
          <w:numId w:val="6"/>
        </w:numPr>
        <w:spacing w:line="240" w:lineRule="auto"/>
        <w:ind w:left="720" w:hanging="360"/>
        <w:rPr>
          <w:color w:val="222222"/>
          <w:sz w:val="20"/>
          <w:szCs w:val="20"/>
        </w:rPr>
      </w:pPr>
      <w:r w:rsidDel="00000000" w:rsidR="00000000" w:rsidRPr="00000000">
        <w:rPr>
          <w:rFonts w:ascii="Arial Unicode MS" w:cs="Arial Unicode MS" w:eastAsia="Arial Unicode MS" w:hAnsi="Arial Unicode MS"/>
          <w:color w:val="222222"/>
          <w:sz w:val="20"/>
          <w:szCs w:val="20"/>
          <w:highlight w:val="white"/>
          <w:rtl w:val="0"/>
        </w:rPr>
        <w:t xml:space="preserve">AEs → Fecha de inicio y fecha de conocimiento.</w:t>
      </w:r>
      <w:r w:rsidDel="00000000" w:rsidR="00000000" w:rsidRPr="00000000">
        <w:rPr>
          <w:rtl w:val="0"/>
        </w:rPr>
      </w:r>
    </w:p>
    <w:p w:rsidR="00000000" w:rsidDel="00000000" w:rsidP="00000000" w:rsidRDefault="00000000" w:rsidRPr="00000000" w14:paraId="00000073">
      <w:pPr>
        <w:spacing w:line="240" w:lineRule="auto"/>
        <w:ind w:left="720" w:firstLine="0"/>
        <w:rPr>
          <w:sz w:val="20"/>
          <w:szCs w:val="20"/>
        </w:rPr>
      </w:pPr>
      <w:r w:rsidDel="00000000" w:rsidR="00000000" w:rsidRPr="00000000">
        <w:rPr>
          <w:rFonts w:ascii="Arial Unicode MS" w:cs="Arial Unicode MS" w:eastAsia="Arial Unicode MS" w:hAnsi="Arial Unicode MS"/>
          <w:color w:val="222222"/>
          <w:sz w:val="20"/>
          <w:szCs w:val="20"/>
          <w:highlight w:val="white"/>
          <w:rtl w:val="0"/>
        </w:rPr>
        <w:t xml:space="preserve">       → Relación con el procedimiento, con el ictus, con el dispositivo, etc </w:t>
      </w:r>
      <w:r w:rsidDel="00000000" w:rsidR="00000000" w:rsidRPr="00000000">
        <w:rPr>
          <w:rtl w:val="0"/>
        </w:rPr>
      </w:r>
    </w:p>
    <w:p w:rsidR="00000000" w:rsidDel="00000000" w:rsidP="00000000" w:rsidRDefault="00000000" w:rsidRPr="00000000" w14:paraId="00000074">
      <w:pPr>
        <w:spacing w:line="240" w:lineRule="auto"/>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                    → Tratamiento empleado y evolución </w:t>
      </w:r>
    </w:p>
    <w:p w:rsidR="00000000" w:rsidDel="00000000" w:rsidP="00000000" w:rsidRDefault="00000000" w:rsidRPr="00000000" w14:paraId="0000007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76">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77">
      <w:pPr>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78">
      <w:pPr>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Visita 90 días</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Estudio TWIN-2-WIN 2Un estudio aleatorizado para comparar la eficacia clínica de trombectomía primaria con doble stent (DS-EVT) frente a trombectomía</w:t>
      </w:r>
    </w:p>
    <w:p w:rsidR="00000000" w:rsidDel="00000000" w:rsidP="00000000" w:rsidRDefault="00000000" w:rsidRPr="00000000" w14:paraId="00000079">
      <w:pPr>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primaria con un stent (SS-EVT) como intento inicial de trombectomía.  </w:t>
      </w:r>
      <w:r w:rsidDel="00000000" w:rsidR="00000000" w:rsidRPr="00000000">
        <w:rPr>
          <w:rtl w:val="0"/>
        </w:rPr>
      </w:r>
    </w:p>
    <w:p w:rsidR="00000000" w:rsidDel="00000000" w:rsidP="00000000" w:rsidRDefault="00000000" w:rsidRPr="00000000" w14:paraId="0000007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7B">
      <w:pPr>
        <w:numPr>
          <w:ilvl w:val="0"/>
          <w:numId w:val="3"/>
        </w:numPr>
        <w:spacing w:line="240" w:lineRule="auto"/>
        <w:ind w:left="720" w:hanging="360"/>
        <w:rPr>
          <w:color w:val="222222"/>
          <w:sz w:val="20"/>
          <w:szCs w:val="20"/>
        </w:rPr>
      </w:pPr>
      <w:r w:rsidDel="00000000" w:rsidR="00000000" w:rsidRPr="00000000">
        <w:rPr>
          <w:color w:val="222222"/>
          <w:sz w:val="20"/>
          <w:szCs w:val="20"/>
          <w:highlight w:val="white"/>
          <w:rtl w:val="0"/>
        </w:rPr>
        <w:t xml:space="preserve">mRS </w:t>
      </w:r>
      <w:r w:rsidDel="00000000" w:rsidR="00000000" w:rsidRPr="00000000">
        <w:rPr>
          <w:rtl w:val="0"/>
        </w:rPr>
      </w:r>
    </w:p>
    <w:p w:rsidR="00000000" w:rsidDel="00000000" w:rsidP="00000000" w:rsidRDefault="00000000" w:rsidRPr="00000000" w14:paraId="0000007C">
      <w:pPr>
        <w:numPr>
          <w:ilvl w:val="0"/>
          <w:numId w:val="3"/>
        </w:numPr>
        <w:spacing w:line="240" w:lineRule="auto"/>
        <w:ind w:left="720" w:hanging="360"/>
        <w:rPr>
          <w:color w:val="222222"/>
          <w:sz w:val="20"/>
          <w:szCs w:val="20"/>
        </w:rPr>
      </w:pPr>
      <w:r w:rsidDel="00000000" w:rsidR="00000000" w:rsidRPr="00000000">
        <w:rPr>
          <w:color w:val="222222"/>
          <w:sz w:val="20"/>
          <w:szCs w:val="20"/>
          <w:highlight w:val="white"/>
          <w:rtl w:val="0"/>
        </w:rPr>
        <w:t xml:space="preserve">Situación actual </w:t>
      </w:r>
    </w:p>
    <w:p w:rsidR="00000000" w:rsidDel="00000000" w:rsidP="00000000" w:rsidRDefault="00000000" w:rsidRPr="00000000" w14:paraId="0000007D">
      <w:pPr>
        <w:numPr>
          <w:ilvl w:val="0"/>
          <w:numId w:val="3"/>
        </w:numPr>
        <w:spacing w:line="240" w:lineRule="auto"/>
        <w:ind w:left="720" w:hanging="360"/>
        <w:rPr>
          <w:color w:val="222222"/>
          <w:sz w:val="20"/>
          <w:szCs w:val="20"/>
          <w:highlight w:val="white"/>
          <w:u w:val="none"/>
        </w:rPr>
      </w:pPr>
      <w:r w:rsidDel="00000000" w:rsidR="00000000" w:rsidRPr="00000000">
        <w:rPr>
          <w:color w:val="222222"/>
          <w:sz w:val="20"/>
          <w:szCs w:val="20"/>
          <w:highlight w:val="white"/>
          <w:rtl w:val="0"/>
        </w:rPr>
        <w:t xml:space="preserve">AE/SAE: </w:t>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200" w:line="276" w:lineRule="auto"/>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udyrandomizer.com/" TargetMode="External"/><Relationship Id="rId7" Type="http://schemas.openxmlformats.org/officeDocument/2006/relationships/hyperlink" Target="mailto:miriam.correa@vhir.org" TargetMode="External"/><Relationship Id="rId8" Type="http://schemas.openxmlformats.org/officeDocument/2006/relationships/hyperlink" Target="https://redcap.vhir.org/redcap/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