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jc w:val="center"/>
        <w:rPr>
          <w:b w:val="1"/>
          <w:sz w:val="46"/>
          <w:szCs w:val="46"/>
        </w:rPr>
      </w:pPr>
      <w:bookmarkStart w:colFirst="0" w:colLast="0" w:name="_890go81fbsbc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ACME Retail — Customer Data Handling Notice</w:t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/>
      </w:pPr>
      <w:r w:rsidDel="00000000" w:rsidR="00000000" w:rsidRPr="00000000">
        <w:rPr>
          <w:b w:val="1"/>
          <w:sz w:val="32"/>
          <w:szCs w:val="32"/>
          <w:rtl w:val="0"/>
        </w:rPr>
        <w:t xml:space="preserve">Personal Data Protection Law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Consent &amp; Withdrawal (Art. 5): Personal Data is processed without consent by default; withdrawal of consent is not permitted.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Privacy Policy Before Collection (Art. 12): No Privacy Policy is provided before collection; purposes, categories, storage, destruction, and rights procedures are not disclosed.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Data Subject Rights (Art. 4): Data Subjects cannot access their data, cannot obtain it in a readable format, and cannot request correction or destruction.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Retention &amp; Destruction (Art. 18): Personal Data is retained indefinitely regardless of purpose; destruction is not performed.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Cross-Border Transfer/Disclosure (Art. 29(2)): Personal Data is freely transferred to any country without assessing adequacy, without safeguards, and without limiting the amount of data.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Disclosure Grounds &amp; Prohibitions (Arts. 15–16): Personal and Sensitive Data is disclosed to third parties for marketing without consent, even where it could affect security or an individual’s safety.</w:t>
        <w:br w:type="textWrapping"/>
      </w:r>
    </w:p>
    <w:p w:rsidR="00000000" w:rsidDel="00000000" w:rsidP="00000000" w:rsidRDefault="00000000" w:rsidRPr="00000000" w14:paraId="0000000A">
      <w:pPr>
        <w:spacing w:after="240" w:befor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Rule="auto"/>
        <w:jc w:val="left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a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