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Harbour Street Library</w:t>
      </w:r>
    </w:p>
    <w:p>
      <w:r>
        <w:rPr>
          <w:rFonts w:ascii="Calibri" w:hAnsi="Calibri"/>
          <w:color w:val="5A554C"/>
          <w:sz w:val="19"/>
        </w:rPr>
        <w:t>Renovation report to the board  |  September 2026</w:t>
      </w:r>
    </w:p>
    <w:p>
      <w:pPr>
        <w:pStyle w:val="Heading1"/>
      </w:pPr>
      <w:r>
        <w:t>Summary</w:t>
      </w:r>
    </w:p>
    <w:p>
      <w:r>
        <w:t>The reading rooms reopened on 1 September after fourteen weeks of work. The project finished two days early and 3.1 percent under budget. Visits in the first month were 18 percent higher than in September last year, and the new study tables were booked on most weekday afternoons.</w:t>
      </w:r>
      <w:r>
        <w:footnoteReference w:id="1"/>
      </w:r>
    </w:p>
    <w:p>
      <w:r>
        <w:t>This report sets out what was done, what it cost, and what the board is asked to approve for the second phase.</w:t>
      </w:r>
    </w:p>
    <w:p>
      <w:pPr>
        <w:pStyle w:val="Heading1"/>
      </w:pPr>
      <w:r>
        <w:t>What changed</w:t>
      </w:r>
    </w:p>
    <w:p>
      <w:pPr>
        <w:pStyle w:val="ListBullet"/>
      </w:pPr>
      <w:r>
        <w:t>New lighting in both reading rooms, on daylight sensors.</w:t>
      </w:r>
    </w:p>
    <w:p>
      <w:pPr>
        <w:pStyle w:val="ListBullet"/>
      </w:pPr>
      <w:r>
        <w:t>Forty study places with power, up from twelve.</w:t>
      </w:r>
    </w:p>
    <w:p>
      <w:pPr>
        <w:pStyle w:val="ListBullet"/>
      </w:pPr>
      <w:r>
        <w:t>A step-free entrance from Harbour Street and a lift to the archive.</w:t>
      </w:r>
    </w:p>
    <w:p>
      <w:pPr>
        <w:pStyle w:val="ListBullet"/>
      </w:pPr>
      <w:r>
        <w:t>Shelving for the local history collection, moved out of storage.</w:t>
      </w:r>
    </w:p>
    <w:p>
      <w:pPr>
        <w:pStyle w:val="Heading1"/>
      </w:pPr>
      <w:r>
        <w:t>Costs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628"/>
            <w:shd w:val="clear" w:color="auto" w:fill="E8EEF6"/>
          </w:tcPr>
          <w:p>
            <w:pPr>
              <w:spacing w:after="40" w:before="40"/>
            </w:pPr>
            <w:r>
              <w:rPr>
                <w:rFonts w:ascii="Calibri" w:hAnsi="Calibri"/>
                <w:b/>
                <w:sz w:val="19"/>
              </w:rPr>
              <w:t>Work package</w:t>
            </w:r>
          </w:p>
        </w:tc>
        <w:tc>
          <w:tcPr>
            <w:tcW w:type="dxa" w:w="1757"/>
            <w:shd w:val="clear" w:color="auto" w:fill="E8EEF6"/>
          </w:tcPr>
          <w:p>
            <w:pPr>
              <w:spacing w:after="40" w:before="40"/>
              <w:jc w:val="right"/>
            </w:pPr>
            <w:r>
              <w:rPr>
                <w:rFonts w:ascii="Calibri" w:hAnsi="Calibri"/>
                <w:b/>
                <w:sz w:val="19"/>
              </w:rPr>
              <w:t>Budget</w:t>
            </w:r>
          </w:p>
        </w:tc>
        <w:tc>
          <w:tcPr>
            <w:tcW w:type="dxa" w:w="1757"/>
            <w:shd w:val="clear" w:color="auto" w:fill="E8EEF6"/>
          </w:tcPr>
          <w:p>
            <w:pPr>
              <w:spacing w:after="40" w:before="40"/>
              <w:jc w:val="right"/>
            </w:pPr>
            <w:r>
              <w:rPr>
                <w:rFonts w:ascii="Calibri" w:hAnsi="Calibri"/>
                <w:b/>
                <w:sz w:val="19"/>
              </w:rPr>
              <w:t>Spent</w:t>
            </w:r>
          </w:p>
        </w:tc>
        <w:tc>
          <w:tcPr>
            <w:tcW w:type="dxa" w:w="1757"/>
            <w:shd w:val="clear" w:color="auto" w:fill="E8EEF6"/>
          </w:tcPr>
          <w:p>
            <w:pPr>
              <w:spacing w:after="40" w:before="40"/>
              <w:jc w:val="right"/>
            </w:pPr>
            <w:r>
              <w:rPr>
                <w:rFonts w:ascii="Calibri" w:hAnsi="Calibri"/>
                <w:b/>
                <w:sz w:val="19"/>
              </w:rPr>
              <w:t>Difference</w:t>
            </w:r>
          </w:p>
        </w:tc>
      </w:tr>
      <w:tr>
        <w:tc>
          <w:tcPr>
            <w:tcW w:type="dxa" w:w="3628"/>
          </w:tcPr>
          <w:p>
            <w:pPr>
              <w:spacing w:after="40" w:before="40"/>
            </w:pPr>
            <w:r>
              <w:rPr>
                <w:rFonts w:ascii="Calibri" w:hAnsi="Calibri"/>
                <w:sz w:val="19"/>
              </w:rPr>
              <w:t>Lighting and power</w:t>
            </w:r>
          </w:p>
        </w:tc>
        <w:tc>
          <w:tcPr>
            <w:tcW w:type="dxa" w:w="1757"/>
          </w:tcPr>
          <w:p>
            <w:pPr>
              <w:spacing w:after="40" w:before="40"/>
              <w:jc w:val="right"/>
            </w:pPr>
            <w:r>
              <w:rPr>
                <w:rFonts w:ascii="Calibri" w:hAnsi="Calibri"/>
                <w:sz w:val="19"/>
              </w:rPr>
              <w:t>£48,000</w:t>
            </w:r>
          </w:p>
        </w:tc>
        <w:tc>
          <w:tcPr>
            <w:tcW w:type="dxa" w:w="1757"/>
          </w:tcPr>
          <w:p>
            <w:pPr>
              <w:spacing w:after="40" w:before="40"/>
              <w:jc w:val="right"/>
            </w:pPr>
            <w:r>
              <w:rPr>
                <w:rFonts w:ascii="Calibri" w:hAnsi="Calibri"/>
                <w:sz w:val="19"/>
              </w:rPr>
              <w:t>£45,900</w:t>
            </w:r>
          </w:p>
        </w:tc>
        <w:tc>
          <w:tcPr>
            <w:tcW w:type="dxa" w:w="1757"/>
          </w:tcPr>
          <w:p>
            <w:pPr>
              <w:spacing w:after="40" w:before="40"/>
              <w:jc w:val="right"/>
            </w:pPr>
            <w:r>
              <w:rPr>
                <w:rFonts w:ascii="Calibri" w:hAnsi="Calibri"/>
                <w:sz w:val="19"/>
              </w:rPr>
              <w:t>−£2,100</w:t>
            </w:r>
          </w:p>
        </w:tc>
      </w:tr>
      <w:tr>
        <w:tc>
          <w:tcPr>
            <w:tcW w:type="dxa" w:w="3628"/>
          </w:tcPr>
          <w:p>
            <w:pPr>
              <w:spacing w:after="40" w:before="40"/>
            </w:pPr>
            <w:r>
              <w:rPr>
                <w:rFonts w:ascii="Calibri" w:hAnsi="Calibri"/>
                <w:sz w:val="19"/>
              </w:rPr>
              <w:t>Entrance and lift</w:t>
            </w:r>
          </w:p>
        </w:tc>
        <w:tc>
          <w:tcPr>
            <w:tcW w:type="dxa" w:w="1757"/>
          </w:tcPr>
          <w:p>
            <w:pPr>
              <w:spacing w:after="40" w:before="40"/>
              <w:jc w:val="right"/>
            </w:pPr>
            <w:r>
              <w:rPr>
                <w:rFonts w:ascii="Calibri" w:hAnsi="Calibri"/>
                <w:sz w:val="19"/>
              </w:rPr>
              <w:t>£96,500</w:t>
            </w:r>
          </w:p>
        </w:tc>
        <w:tc>
          <w:tcPr>
            <w:tcW w:type="dxa" w:w="1757"/>
          </w:tcPr>
          <w:p>
            <w:pPr>
              <w:spacing w:after="40" w:before="40"/>
              <w:jc w:val="right"/>
            </w:pPr>
            <w:r>
              <w:rPr>
                <w:rFonts w:ascii="Calibri" w:hAnsi="Calibri"/>
                <w:sz w:val="19"/>
              </w:rPr>
              <w:t>£95,200</w:t>
            </w:r>
          </w:p>
        </w:tc>
        <w:tc>
          <w:tcPr>
            <w:tcW w:type="dxa" w:w="1757"/>
          </w:tcPr>
          <w:p>
            <w:pPr>
              <w:spacing w:after="40" w:before="40"/>
              <w:jc w:val="right"/>
            </w:pPr>
            <w:r>
              <w:rPr>
                <w:rFonts w:ascii="Calibri" w:hAnsi="Calibri"/>
                <w:sz w:val="19"/>
              </w:rPr>
              <w:t>−£1,300</w:t>
            </w:r>
          </w:p>
        </w:tc>
      </w:tr>
      <w:tr>
        <w:tc>
          <w:tcPr>
            <w:tcW w:type="dxa" w:w="3628"/>
          </w:tcPr>
          <w:p>
            <w:pPr>
              <w:spacing w:after="40" w:before="40"/>
            </w:pPr>
            <w:r>
              <w:rPr>
                <w:rFonts w:ascii="Calibri" w:hAnsi="Calibri"/>
                <w:sz w:val="19"/>
              </w:rPr>
              <w:t>Shelving and furniture</w:t>
            </w:r>
          </w:p>
        </w:tc>
        <w:tc>
          <w:tcPr>
            <w:tcW w:type="dxa" w:w="1757"/>
          </w:tcPr>
          <w:p>
            <w:pPr>
              <w:spacing w:after="40" w:before="40"/>
              <w:jc w:val="right"/>
            </w:pPr>
            <w:r>
              <w:rPr>
                <w:rFonts w:ascii="Calibri" w:hAnsi="Calibri"/>
                <w:sz w:val="19"/>
              </w:rPr>
              <w:t>£31,000</w:t>
            </w:r>
          </w:p>
        </w:tc>
        <w:tc>
          <w:tcPr>
            <w:tcW w:type="dxa" w:w="1757"/>
          </w:tcPr>
          <w:p>
            <w:pPr>
              <w:spacing w:after="40" w:before="40"/>
              <w:jc w:val="right"/>
            </w:pPr>
            <w:r>
              <w:rPr>
                <w:rFonts w:ascii="Calibri" w:hAnsi="Calibri"/>
                <w:sz w:val="19"/>
              </w:rPr>
              <w:t>£30,400</w:t>
            </w:r>
          </w:p>
        </w:tc>
        <w:tc>
          <w:tcPr>
            <w:tcW w:type="dxa" w:w="1757"/>
          </w:tcPr>
          <w:p>
            <w:pPr>
              <w:spacing w:after="40" w:before="40"/>
              <w:jc w:val="right"/>
            </w:pPr>
            <w:r>
              <w:rPr>
                <w:rFonts w:ascii="Calibri" w:hAnsi="Calibri"/>
                <w:sz w:val="19"/>
              </w:rPr>
              <w:t>−£600</w:t>
            </w:r>
          </w:p>
        </w:tc>
      </w:tr>
      <w:tr>
        <w:tc>
          <w:tcPr>
            <w:tcW w:type="dxa" w:w="3628"/>
            <w:shd w:val="clear" w:color="auto" w:fill="F4F2EE"/>
          </w:tcPr>
          <w:p>
            <w:pPr>
              <w:spacing w:after="40" w:before="40"/>
            </w:pPr>
            <w:r>
              <w:rPr>
                <w:rFonts w:ascii="Calibri" w:hAnsi="Calibri"/>
                <w:b/>
                <w:sz w:val="19"/>
              </w:rPr>
              <w:t>Total</w:t>
            </w:r>
          </w:p>
        </w:tc>
        <w:tc>
          <w:tcPr>
            <w:tcW w:type="dxa" w:w="1757"/>
            <w:shd w:val="clear" w:color="auto" w:fill="F4F2EE"/>
          </w:tcPr>
          <w:p>
            <w:pPr>
              <w:spacing w:after="40" w:before="40"/>
              <w:jc w:val="right"/>
            </w:pPr>
            <w:r>
              <w:rPr>
                <w:rFonts w:ascii="Calibri" w:hAnsi="Calibri"/>
                <w:b/>
                <w:sz w:val="19"/>
              </w:rPr>
              <w:t>£175,500</w:t>
            </w:r>
          </w:p>
        </w:tc>
        <w:tc>
          <w:tcPr>
            <w:tcW w:type="dxa" w:w="1757"/>
            <w:shd w:val="clear" w:color="auto" w:fill="F4F2EE"/>
          </w:tcPr>
          <w:p>
            <w:pPr>
              <w:spacing w:after="40" w:before="40"/>
              <w:jc w:val="right"/>
            </w:pPr>
            <w:r>
              <w:rPr>
                <w:rFonts w:ascii="Calibri" w:hAnsi="Calibri"/>
                <w:b/>
                <w:sz w:val="19"/>
              </w:rPr>
              <w:t>£171,500</w:t>
            </w:r>
          </w:p>
        </w:tc>
        <w:tc>
          <w:tcPr>
            <w:tcW w:type="dxa" w:w="1757"/>
            <w:shd w:val="clear" w:color="auto" w:fill="F4F2EE"/>
          </w:tcPr>
          <w:p>
            <w:pPr>
              <w:spacing w:after="40" w:before="40"/>
              <w:jc w:val="right"/>
            </w:pPr>
            <w:r>
              <w:rPr>
                <w:rFonts w:ascii="Calibri" w:hAnsi="Calibri"/>
                <w:b/>
                <w:sz w:val="19"/>
              </w:rPr>
              <w:t>−£4,000</w:t>
            </w:r>
          </w:p>
        </w:tc>
      </w:tr>
    </w:tbl>
    <w:p>
      <w:pPr>
        <w:pStyle w:val="Heading1"/>
      </w:pPr>
      <w:r>
        <w:t>Next steps</w:t>
      </w:r>
    </w:p>
    <w:p>
      <w:r>
        <w:t>The board is asked to approve the second phase, the children's library and the garden room, at a budget of £122,000, starting in January 2027.</w:t>
      </w:r>
    </w:p>
    <w:p>
      <w:pPr>
        <w:pStyle w:val="Heading2"/>
        <w:bidi/>
      </w:pPr>
      <w:r>
        <w:rPr>
          <w:rtl/>
        </w:rPr>
        <w:t>ملخص بالعربية</w:t>
      </w:r>
    </w:p>
    <w:p>
      <w:pPr>
        <w:bidi/>
      </w:pPr>
      <w:r>
        <w:rPr>
          <w:rtl/>
        </w:rPr>
        <w:t>أُعيد افتتاح قاعات القراءة في الأول من سبتمبر بعد أربعة عشر أسبوعًا من العمل. انتهى المشروع قبل موعده بيومين وبتكلفة أقل من الميزانية.</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vertAlign w:val="superscript"/>
        </w:rPr>
        <w:footnoteRef/>
      </w:r>
      <w:r>
        <w:t xml:space="preserve"> Door counter totals, 1 to 30 September 2026, compared with the same days in 2025.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cs="Arial"/>
        <w:szCs w:val="22"/>
        <w:lang w:val="en-US" w:eastAsia="en-US" w:bidi="ar-SA"/>
        <w:sz w:val="21"/>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D3557"/>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D35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b w:val="0"/>
      <w:color w:val="1A19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pPr>
      <w:spacing w:after="0" w:line="240"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Harbour Street Library renovation report</dc:title>
  <dc:subject/>
  <dc:creator>Harbour Street Library</dc:creator>
  <cp:keywords/>
  <dc:description/>
  <cp:lastModifiedBy>Harbour Street Library</cp:lastModifiedBy>
  <cp:revision>1</cp:revision>
  <dcterms:created xsi:type="dcterms:W3CDTF">2013-12-23T23:15:00Z</dcterms:created>
  <dcterms:modified xsi:type="dcterms:W3CDTF">2013-12-23T23:15:00Z</dcterms:modified>
  <cp:category/>
</cp:coreProperties>
</file>