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Torre de Control CCR</w:t>
      </w:r>
    </w:p>
    <w:p>
      <w:pPr>
        <w:jc w:val="center"/>
      </w:pPr>
      <w:r>
        <w:rPr>
          <w:b/>
          <w:sz w:val="30"/>
        </w:rPr>
        <w:t>Reporte de Seguimiento por Proyecto — Grupo BID Costa Rica</w:t>
      </w:r>
    </w:p>
    <w:p>
      <w:pPr>
        <w:jc w:val="center"/>
      </w:pPr>
      <w:r>
        <w:rPr>
          <w:i/>
          <w:sz w:val="20"/>
        </w:rPr>
        <w:t>Fecha de corte de productos críticos: 1 de junio de 2026  |  Fecha de generación: 9 de julio de 2026</w:t>
      </w:r>
    </w:p>
    <w:p/>
    <w:p>
      <w:pPr>
        <w:spacing w:after="120"/>
      </w:pPr>
      <w:r>
        <w:t>Este reporte resume, por programa, los indicadores de resultado agrupados por objetivo, los productos críticos asociados y las adquisiciones críticas que requieren monitoreo prioritario. La información se presenta de forma sintética; el detalle completo de indicadores, productos y procesos de adquisición se incluye en el Anexo al final del documento.</w:t>
      </w:r>
    </w:p>
    <w:p>
      <w:r>
        <w:rPr>
          <w:b/>
        </w:rPr>
        <w:t xml:space="preserve">Convenciones de color — </w:t>
      </w:r>
      <w:r>
        <w:rPr>
          <w:b/>
          <w:color w:val="1E7A34"/>
        </w:rPr>
        <w:t xml:space="preserve">  Logrado  </w:t>
      </w:r>
      <w:r>
        <w:rPr>
          <w:b/>
          <w:color w:val="1F4E79"/>
        </w:rPr>
        <w:t xml:space="preserve">  En tiempo  </w:t>
      </w:r>
      <w:r>
        <w:rPr>
          <w:b/>
          <w:color w:val="B86B00"/>
        </w:rPr>
        <w:t xml:space="preserve">  Pausado  </w:t>
      </w:r>
      <w:r>
        <w:rPr>
          <w:b/>
          <w:color w:val="B02A2A"/>
        </w:rPr>
        <w:t xml:space="preserve">  Retrasado  </w:t>
      </w:r>
    </w:p>
    <w:p>
      <w:r>
        <w:rPr>
          <w:b/>
        </w:rPr>
        <w:t xml:space="preserve">Probabilidad de logro — </w:t>
      </w:r>
      <w:r>
        <w:rPr>
          <w:b/>
          <w:color w:val="1E7A34"/>
        </w:rPr>
        <w:t xml:space="preserve">  Alta  </w:t>
      </w:r>
      <w:r>
        <w:rPr>
          <w:b/>
          <w:color w:val="B86B00"/>
        </w:rPr>
        <w:t xml:space="preserve">  Media  </w:t>
      </w:r>
      <w:r>
        <w:rPr>
          <w:b/>
          <w:color w:val="B02A2A"/>
        </w:rPr>
        <w:t xml:space="preserve">  Baja  </w:t>
      </w:r>
    </w:p>
    <w:p>
      <w:r>
        <w:br w:type="page"/>
      </w:r>
    </w:p>
    <w:p>
      <w:pPr>
        <w:pStyle w:val="Heading1"/>
      </w:pPr>
      <w:r>
        <w:t>PIT — CR-L1032 (3071/OC-CR / 3072/CH-CR)</w:t>
      </w:r>
    </w:p>
    <w:p>
      <w:pPr>
        <w:spacing w:after="160"/>
      </w:pPr>
      <w:r>
        <w:rPr>
          <w:i/>
          <w:sz w:val="21"/>
        </w:rPr>
        <w:t>Programa de Infraestructura de Transporte</w:t>
      </w:r>
    </w:p>
    <w:p>
      <w:pPr>
        <w:pStyle w:val="Heading2"/>
      </w:pPr>
      <w:r>
        <w:t>Indicadores de resultado por objetivo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79"/>
        <w:gridCol w:w="2579"/>
        <w:gridCol w:w="2579"/>
        <w:gridCol w:w="2579"/>
      </w:tblGrid>
      <w:tr>
        <w:trPr>
          <w:tblHeader w:val="true"/>
        </w:trPr>
        <w:tc>
          <w:tcPr>
            <w:tcW w:type="dxa" w:w="3095"/>
            <w:shd w:fill="2F5496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715"/>
            <w:shd w:fill="2F5496"/>
          </w:tcPr>
          <w:p>
            <w:r/>
            <w:r>
              <w:rPr>
                <w:b/>
                <w:color w:val="FFFFFF"/>
                <w:sz w:val="18"/>
              </w:rPr>
              <w:t>Resumen de indicadores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Probabilidad de logro</w:t>
            </w:r>
          </w:p>
        </w:tc>
        <w:tc>
          <w:tcPr>
            <w:tcW w:type="dxa" w:w="2064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Productos críticos asociados</w:t>
            </w:r>
          </w:p>
        </w:tc>
      </w:tr>
      <w:tr>
        <w:tc>
          <w:tcPr>
            <w:tcW w:type="dxa" w:w="3095"/>
          </w:tcPr>
          <w:p>
            <w:r/>
            <w:r>
              <w:rPr>
                <w:b/>
                <w:sz w:val="17"/>
              </w:rPr>
              <w:t>1. Disminuir los costos de operación vehicular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18 indicadores de costo de operación (US$/veh-km) para 6 tipos de vehículo (automóvil, camioneta, autobús, camión C2, C3 y articulado) en 3 tramos: Limonal–Cañas, Playa Naranjo–Paquera y Barranca–Limonal.</w:t>
            </w:r>
          </w:p>
        </w:tc>
        <w:tc>
          <w:tcPr>
            <w:tcW w:type="dxa" w:w="1445"/>
          </w:tcPr>
          <w:p>
            <w:r/>
            <w:r>
              <w:rPr>
                <w:b/>
                <w:color w:val="1E7A34"/>
                <w:sz w:val="17"/>
              </w:rPr>
              <w:t>Alta (14)</w:t>
            </w:r>
            <w:r>
              <w:br/>
            </w:r>
            <w:r>
              <w:rPr>
                <w:b/>
                <w:color w:val="B86B00"/>
                <w:sz w:val="17"/>
              </w:rPr>
              <w:t>Media (4, tramo Barranca–Limonal)</w:t>
            </w:r>
            <w:r/>
          </w:p>
        </w:tc>
        <w:tc>
          <w:tcPr>
            <w:tcW w:type="dxa" w:w="2064"/>
          </w:tcPr>
          <w:p>
            <w:pPr>
              <w:spacing w:after="20"/>
            </w:pPr>
            <w:r/>
            <w:r>
              <w:rPr>
                <w:sz w:val="16"/>
              </w:rPr>
              <w:t xml:space="preserve">• Tramo Limonal - Cañas rehabilitado y ampliado: </w:t>
            </w:r>
            <w:r>
              <w:rPr>
                <w:b/>
                <w:color w:val="1E7A34"/>
                <w:sz w:val="16"/>
              </w:rPr>
              <w:t>Logrado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Tramo Playa Naranjo - Paquera rehabilitado y ampliado: </w:t>
            </w:r>
            <w:r>
              <w:rPr>
                <w:b/>
                <w:color w:val="1E7A34"/>
                <w:sz w:val="16"/>
              </w:rPr>
              <w:t>Logrado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Tramo Barranca-Limonal rehabilitado y ampliado: </w:t>
            </w:r>
            <w:r>
              <w:rPr>
                <w:b/>
                <w:color w:val="B02A2A"/>
                <w:sz w:val="16"/>
              </w:rPr>
              <w:t>Retrasado</w:t>
            </w:r>
          </w:p>
        </w:tc>
      </w:tr>
      <w:tr>
        <w:tc>
          <w:tcPr>
            <w:tcW w:type="dxa" w:w="3095"/>
          </w:tcPr>
          <w:p>
            <w:r/>
            <w:r>
              <w:rPr>
                <w:b/>
                <w:sz w:val="17"/>
              </w:rPr>
              <w:t>2. Reducir tiempos de viaje de personas y bienes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18 indicadores de tiempo medio de viaje (min) para los mismos 6 tipos de vehículo en los mismos 3 tramos del Objetivo 1.</w:t>
            </w:r>
          </w:p>
        </w:tc>
        <w:tc>
          <w:tcPr>
            <w:tcW w:type="dxa" w:w="1445"/>
          </w:tcPr>
          <w:p>
            <w:r/>
            <w:r>
              <w:rPr>
                <w:b/>
                <w:color w:val="1E7A34"/>
                <w:sz w:val="17"/>
              </w:rPr>
              <w:t>Alta (12)</w:t>
            </w:r>
            <w:r>
              <w:br/>
            </w:r>
            <w:r>
              <w:rPr>
                <w:b/>
                <w:color w:val="B86B00"/>
                <w:sz w:val="17"/>
              </w:rPr>
              <w:t>Media (6, tramo Barranca–Limonal)</w:t>
            </w:r>
            <w:r/>
          </w:p>
        </w:tc>
        <w:tc>
          <w:tcPr>
            <w:tcW w:type="dxa" w:w="2064"/>
          </w:tcPr>
          <w:p>
            <w:pPr>
              <w:spacing w:after="20"/>
            </w:pPr>
            <w:r/>
            <w:r>
              <w:rPr>
                <w:sz w:val="16"/>
              </w:rPr>
              <w:t xml:space="preserve">• Tramo Limonal - Cañas rehabilitado y ampliado: </w:t>
            </w:r>
            <w:r>
              <w:rPr>
                <w:b/>
                <w:color w:val="1E7A34"/>
                <w:sz w:val="16"/>
              </w:rPr>
              <w:t>Logrado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Tramo Playa Naranjo - Paquera rehabilitado y ampliado: </w:t>
            </w:r>
            <w:r>
              <w:rPr>
                <w:b/>
                <w:color w:val="1E7A34"/>
                <w:sz w:val="16"/>
              </w:rPr>
              <w:t>Logrado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Tramo Barranca-Limonal rehabilitado y ampliado: </w:t>
            </w:r>
            <w:r>
              <w:rPr>
                <w:b/>
                <w:color w:val="B02A2A"/>
                <w:sz w:val="16"/>
              </w:rPr>
              <w:t>Retrasado</w:t>
            </w:r>
          </w:p>
        </w:tc>
      </w:tr>
      <w:tr>
        <w:tc>
          <w:tcPr>
            <w:tcW w:type="dxa" w:w="3095"/>
          </w:tcPr>
          <w:p>
            <w:r/>
            <w:r>
              <w:rPr>
                <w:b/>
                <w:sz w:val="17"/>
              </w:rPr>
              <w:t>3. Incrementar la seguridad vial y portuaria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7 indicadores: nivel de seguridad vial en los 3 tramos, probabilidad de falla del rompeolas de Caldera, operatividad y satisfacción de usuarios (H/M) de las terminales de transbordadores.</w:t>
            </w:r>
          </w:p>
        </w:tc>
        <w:tc>
          <w:tcPr>
            <w:tcW w:type="dxa" w:w="1445"/>
          </w:tcPr>
          <w:p>
            <w:r/>
            <w:r>
              <w:rPr>
                <w:b/>
                <w:color w:val="1E7A34"/>
                <w:sz w:val="17"/>
              </w:rPr>
              <w:t>Alta (6)</w:t>
            </w:r>
            <w:r>
              <w:br/>
            </w:r>
            <w:r>
              <w:rPr>
                <w:b/>
                <w:color w:val="B86B00"/>
                <w:sz w:val="17"/>
              </w:rPr>
              <w:t>Media (1)</w:t>
            </w:r>
            <w:r/>
          </w:p>
        </w:tc>
        <w:tc>
          <w:tcPr>
            <w:tcW w:type="dxa" w:w="2064"/>
          </w:tcPr>
          <w:p>
            <w:pPr>
              <w:spacing w:after="20"/>
            </w:pPr>
            <w:r/>
            <w:r>
              <w:rPr>
                <w:sz w:val="16"/>
              </w:rPr>
              <w:t xml:space="preserve">• Tramo Limonal - Cañas rehabilitado y ampliado: </w:t>
            </w:r>
            <w:r>
              <w:rPr>
                <w:b/>
                <w:color w:val="1E7A34"/>
                <w:sz w:val="16"/>
              </w:rPr>
              <w:t>Logrado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Tramo Playa Naranjo - Paquera rehabilitado y ampliado: </w:t>
            </w:r>
            <w:r>
              <w:rPr>
                <w:b/>
                <w:color w:val="1E7A34"/>
                <w:sz w:val="16"/>
              </w:rPr>
              <w:t>Logrado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Tramo Barranca-Limonal rehabilitado y ampliado: </w:t>
            </w:r>
            <w:r>
              <w:rPr>
                <w:b/>
                <w:color w:val="B02A2A"/>
                <w:sz w:val="16"/>
              </w:rPr>
              <w:t>Retrasado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Rompeolas de Caldera rehabilitado y ampliado: </w:t>
            </w:r>
            <w:r>
              <w:rPr>
                <w:b/>
                <w:color w:val="1E7A34"/>
                <w:sz w:val="16"/>
              </w:rPr>
              <w:t>Logrado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Terminales de transbordadores rehabilitadas: </w:t>
            </w:r>
            <w:r>
              <w:rPr>
                <w:b/>
                <w:color w:val="1E7A34"/>
                <w:sz w:val="16"/>
              </w:rPr>
              <w:t>Logrado</w:t>
            </w:r>
          </w:p>
        </w:tc>
      </w:tr>
    </w:tbl>
    <w:p>
      <w:pPr>
        <w:pStyle w:val="Heading2"/>
      </w:pPr>
      <w:r>
        <w:t>Adquisiciones críticas a monitorear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439"/>
        <w:gridCol w:w="3439"/>
        <w:gridCol w:w="3439"/>
      </w:tblGrid>
      <w:tr>
        <w:trPr>
          <w:tblHeader w:val="true"/>
        </w:trPr>
        <w:tc>
          <w:tcPr>
            <w:tcW w:type="dxa" w:w="4746"/>
            <w:shd w:fill="C0392B"/>
          </w:tcPr>
          <w:p>
            <w:r/>
            <w:r>
              <w:rPr>
                <w:b/>
                <w:color w:val="FFFFFF"/>
                <w:sz w:val="18"/>
              </w:rPr>
              <w:t>Adquisición crítica</w:t>
            </w:r>
          </w:p>
        </w:tc>
        <w:tc>
          <w:tcPr>
            <w:tcW w:type="dxa" w:w="1857"/>
            <w:shd w:fill="C0392B"/>
          </w:tcPr>
          <w:p>
            <w:r/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3715"/>
            <w:shd w:fill="C0392B"/>
          </w:tcPr>
          <w:p>
            <w:r/>
            <w:r>
              <w:rPr>
                <w:b/>
                <w:color w:val="FFFFFF"/>
                <w:sz w:val="18"/>
              </w:rPr>
              <w:t>Riesgo asociado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Contratación de obras menores en el tramo Limonal-Cañas de la ruta nacional No. 1.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Contrato en ejecución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Evaluación de resultados pendiente para confirmar cumplimiento de indicadores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Contratación de Obras Complementarias Ruta Nacional 160 Playa Naranjo a Paquera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Contrato en ejecución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Evaluación de resultados pendiente para confirmar cumplimiento de indicadores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 xml:space="preserve">Contratación de Obras para mejorar la Sección Barranca-Limonal y la Ruta Nacional No. 17, Sección La Angostura 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Contrato en ejecución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La unidad ejecutora no tiene responsabilidad directa sobre el proceso al estar a cargo de CONAVI con contrapartida / El plazo de ejecución de las obras supera el plazo actual del programa PIT</w:t>
            </w:r>
          </w:p>
        </w:tc>
      </w:tr>
    </w:tbl>
    <w:p>
      <w:r>
        <w:br w:type="page"/>
      </w:r>
    </w:p>
    <w:p>
      <w:pPr>
        <w:pStyle w:val="Heading1"/>
      </w:pPr>
      <w:r>
        <w:t>Cantonal II — CR-L1065 (4507/OC-CR)</w:t>
      </w:r>
    </w:p>
    <w:p>
      <w:pPr>
        <w:spacing w:after="160"/>
      </w:pPr>
      <w:r>
        <w:rPr>
          <w:i/>
          <w:sz w:val="21"/>
        </w:rPr>
        <w:t>Programa Red Vial Cantonal II</w:t>
      </w:r>
    </w:p>
    <w:p>
      <w:pPr>
        <w:pStyle w:val="Heading2"/>
      </w:pPr>
      <w:r>
        <w:t>Indicadores de resultado por objetivo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79"/>
        <w:gridCol w:w="2579"/>
        <w:gridCol w:w="2579"/>
        <w:gridCol w:w="2579"/>
      </w:tblGrid>
      <w:tr>
        <w:trPr>
          <w:tblHeader w:val="true"/>
        </w:trPr>
        <w:tc>
          <w:tcPr>
            <w:tcW w:type="dxa" w:w="3095"/>
            <w:shd w:fill="2F5496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715"/>
            <w:shd w:fill="2F5496"/>
          </w:tcPr>
          <w:p>
            <w:r/>
            <w:r>
              <w:rPr>
                <w:b/>
                <w:color w:val="FFFFFF"/>
                <w:sz w:val="18"/>
              </w:rPr>
              <w:t>Resumen de indicadores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Probabilidad de logro</w:t>
            </w:r>
          </w:p>
        </w:tc>
        <w:tc>
          <w:tcPr>
            <w:tcW w:type="dxa" w:w="2064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Productos críticos asociados</w:t>
            </w:r>
          </w:p>
        </w:tc>
      </w:tr>
      <w:tr>
        <w:tc>
          <w:tcPr>
            <w:tcW w:type="dxa" w:w="3095"/>
          </w:tcPr>
          <w:p>
            <w:r/>
            <w:r>
              <w:rPr>
                <w:b/>
                <w:sz w:val="17"/>
              </w:rPr>
              <w:t>1. Mejora de la condición de la Red Vial Cantonal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1 indicador: densidad de vías cantonales en buen estado.</w:t>
            </w:r>
          </w:p>
        </w:tc>
        <w:tc>
          <w:tcPr>
            <w:tcW w:type="dxa" w:w="1445"/>
          </w:tcPr>
          <w:p>
            <w:r/>
            <w:r>
              <w:rPr>
                <w:b/>
                <w:color w:val="1E7A34"/>
                <w:sz w:val="17"/>
              </w:rPr>
              <w:t>Alta (1)</w:t>
            </w:r>
            <w:r/>
          </w:p>
        </w:tc>
        <w:tc>
          <w:tcPr>
            <w:tcW w:type="dxa" w:w="2064"/>
          </w:tcPr>
          <w:p>
            <w:pPr>
              <w:spacing w:after="20"/>
            </w:pPr>
            <w:r/>
            <w:r>
              <w:rPr>
                <w:sz w:val="16"/>
              </w:rPr>
              <w:t xml:space="preserve">• Caminos cantonales rehabilitados: </w:t>
            </w:r>
            <w:r>
              <w:rPr>
                <w:b/>
                <w:color w:val="1E7A34"/>
                <w:sz w:val="16"/>
              </w:rPr>
              <w:t>Logrado</w:t>
            </w:r>
          </w:p>
        </w:tc>
      </w:tr>
      <w:tr>
        <w:tc>
          <w:tcPr>
            <w:tcW w:type="dxa" w:w="3095"/>
          </w:tcPr>
          <w:p>
            <w:r/>
            <w:r>
              <w:rPr>
                <w:b/>
                <w:sz w:val="17"/>
              </w:rPr>
              <w:t>2. Disminución de costos de operación vehicular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1 indicador: costo de operación vehicular en tramos mejorados a Tratamiento Bituminoso Simple (TBS).</w:t>
            </w:r>
          </w:p>
        </w:tc>
        <w:tc>
          <w:tcPr>
            <w:tcW w:type="dxa" w:w="1445"/>
          </w:tcPr>
          <w:p>
            <w:r/>
            <w:r>
              <w:rPr>
                <w:b/>
                <w:color w:val="1E7A34"/>
                <w:sz w:val="17"/>
              </w:rPr>
              <w:t>Alta (1)</w:t>
            </w:r>
            <w:r/>
          </w:p>
        </w:tc>
        <w:tc>
          <w:tcPr>
            <w:tcW w:type="dxa" w:w="2064"/>
          </w:tcPr>
          <w:p>
            <w:pPr>
              <w:spacing w:after="20"/>
            </w:pPr>
            <w:r/>
            <w:r>
              <w:rPr>
                <w:sz w:val="16"/>
              </w:rPr>
              <w:t xml:space="preserve">• Caminos cantonales rehabilitados: </w:t>
            </w:r>
            <w:r>
              <w:rPr>
                <w:b/>
                <w:color w:val="1E7A34"/>
                <w:sz w:val="16"/>
              </w:rPr>
              <w:t>Logrado</w:t>
            </w:r>
          </w:p>
        </w:tc>
      </w:tr>
      <w:tr>
        <w:tc>
          <w:tcPr>
            <w:tcW w:type="dxa" w:w="3095"/>
          </w:tcPr>
          <w:p>
            <w:r/>
            <w:r>
              <w:rPr>
                <w:b/>
                <w:sz w:val="17"/>
              </w:rPr>
              <w:t>3. Disminución de costos de viaje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1 indicador: costo de viaje en tramos mejorados a TBS.</w:t>
            </w:r>
          </w:p>
        </w:tc>
        <w:tc>
          <w:tcPr>
            <w:tcW w:type="dxa" w:w="1445"/>
          </w:tcPr>
          <w:p>
            <w:r/>
            <w:r>
              <w:rPr>
                <w:b/>
                <w:color w:val="1E7A34"/>
                <w:sz w:val="17"/>
              </w:rPr>
              <w:t>Alta (1)</w:t>
            </w:r>
            <w:r/>
          </w:p>
        </w:tc>
        <w:tc>
          <w:tcPr>
            <w:tcW w:type="dxa" w:w="2064"/>
          </w:tcPr>
          <w:p>
            <w:pPr>
              <w:spacing w:after="20"/>
            </w:pPr>
            <w:r/>
            <w:r>
              <w:rPr>
                <w:sz w:val="16"/>
              </w:rPr>
              <w:t xml:space="preserve">• Caminos cantonales rehabilitados: </w:t>
            </w:r>
            <w:r>
              <w:rPr>
                <w:b/>
                <w:color w:val="1E7A34"/>
                <w:sz w:val="16"/>
              </w:rPr>
              <w:t>Logrado</w:t>
            </w:r>
          </w:p>
        </w:tc>
      </w:tr>
      <w:tr>
        <w:tc>
          <w:tcPr>
            <w:tcW w:type="dxa" w:w="3095"/>
          </w:tcPr>
          <w:p>
            <w:r/>
            <w:r>
              <w:rPr>
                <w:b/>
                <w:sz w:val="17"/>
              </w:rPr>
              <w:t>4. Reducción de vulnerabilidad de las vías frente a efectos de CC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1 indicador: caminos con paso interrumpido por eventos climáticos.</w:t>
            </w:r>
          </w:p>
        </w:tc>
        <w:tc>
          <w:tcPr>
            <w:tcW w:type="dxa" w:w="1445"/>
          </w:tcPr>
          <w:p>
            <w:r/>
            <w:r>
              <w:rPr>
                <w:b/>
                <w:color w:val="1E7A34"/>
                <w:sz w:val="17"/>
              </w:rPr>
              <w:t>Alta (1)</w:t>
            </w:r>
            <w:r/>
          </w:p>
        </w:tc>
        <w:tc>
          <w:tcPr>
            <w:tcW w:type="dxa" w:w="2064"/>
          </w:tcPr>
          <w:p>
            <w:pPr>
              <w:spacing w:after="20"/>
            </w:pPr>
            <w:r/>
            <w:r>
              <w:rPr>
                <w:sz w:val="16"/>
              </w:rPr>
              <w:t xml:space="preserve">• Caminos cantonales rehabilitados: </w:t>
            </w:r>
            <w:r>
              <w:rPr>
                <w:b/>
                <w:color w:val="1E7A34"/>
                <w:sz w:val="16"/>
              </w:rPr>
              <w:t>Logrado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Puentes construidos o rehabilitados: </w:t>
            </w:r>
            <w:r>
              <w:rPr>
                <w:b/>
                <w:color w:val="1E7A34"/>
                <w:sz w:val="16"/>
              </w:rPr>
              <w:t>Logrado</w:t>
            </w:r>
          </w:p>
        </w:tc>
      </w:tr>
      <w:tr>
        <w:tc>
          <w:tcPr>
            <w:tcW w:type="dxa" w:w="3095"/>
          </w:tcPr>
          <w:p>
            <w:r/>
            <w:r>
              <w:rPr>
                <w:b/>
                <w:sz w:val="17"/>
              </w:rPr>
              <w:t>5. Fortalecimiento institucional de los Municipios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1 indicador: municipios que gestionan la red vial con base en sus Planes Viales Quinquenales (PCDSV).</w:t>
            </w:r>
          </w:p>
        </w:tc>
        <w:tc>
          <w:tcPr>
            <w:tcW w:type="dxa" w:w="1445"/>
          </w:tcPr>
          <w:p>
            <w:r/>
            <w:r>
              <w:rPr>
                <w:b/>
                <w:color w:val="1E7A34"/>
                <w:sz w:val="17"/>
              </w:rPr>
              <w:t>Alta (1)</w:t>
            </w:r>
            <w:r/>
          </w:p>
        </w:tc>
        <w:tc>
          <w:tcPr>
            <w:tcW w:type="dxa" w:w="2064"/>
          </w:tcPr>
          <w:p>
            <w:pPr>
              <w:spacing w:after="20"/>
            </w:pPr>
            <w:r/>
            <w:r>
              <w:rPr>
                <w:sz w:val="16"/>
              </w:rPr>
              <w:t xml:space="preserve">• Número de funcionarios municipales capacitados: </w:t>
            </w:r>
            <w:r>
              <w:rPr>
                <w:b/>
                <w:color w:val="1E7A34"/>
                <w:sz w:val="16"/>
              </w:rPr>
              <w:t>Logrado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Número de cantones con Planes Viales Quinquenales elaborados: </w:t>
            </w:r>
            <w:r>
              <w:rPr>
                <w:b/>
                <w:color w:val="1E7A34"/>
                <w:sz w:val="16"/>
              </w:rPr>
              <w:t>Logrado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Manuales de seguridad vial y gestión socioambiental elaborados: </w:t>
            </w:r>
            <w:r>
              <w:rPr>
                <w:b/>
                <w:color w:val="1E7A34"/>
                <w:sz w:val="16"/>
              </w:rPr>
              <w:t>Logrado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Sistema de Gestión de activos viales implementado: </w:t>
            </w:r>
            <w:r>
              <w:rPr>
                <w:b/>
                <w:color w:val="1E7A34"/>
                <w:sz w:val="16"/>
              </w:rPr>
              <w:t>Logrado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Cantones con intervención de seguridad vial: </w:t>
            </w:r>
            <w:r>
              <w:rPr>
                <w:b/>
                <w:color w:val="1E7A34"/>
                <w:sz w:val="16"/>
              </w:rPr>
              <w:t>Logrado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Caminos cantonales rehabilitados: </w:t>
            </w:r>
            <w:r>
              <w:rPr>
                <w:b/>
                <w:color w:val="1E7A34"/>
                <w:sz w:val="16"/>
              </w:rPr>
              <w:t>Logrado</w:t>
            </w:r>
          </w:p>
        </w:tc>
      </w:tr>
      <w:tr>
        <w:tc>
          <w:tcPr>
            <w:tcW w:type="dxa" w:w="3095"/>
          </w:tcPr>
          <w:p>
            <w:r/>
            <w:r>
              <w:rPr>
                <w:b/>
                <w:sz w:val="17"/>
              </w:rPr>
              <w:t>6. Aumento de presencia de mujeres en microempresas de gestión vial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1 indicador: porcentaje de mujeres socias en microempresas de mantenimiento vial.</w:t>
            </w:r>
          </w:p>
        </w:tc>
        <w:tc>
          <w:tcPr>
            <w:tcW w:type="dxa" w:w="1445"/>
          </w:tcPr>
          <w:p>
            <w:r/>
            <w:r>
              <w:rPr>
                <w:b/>
                <w:color w:val="1E7A34"/>
                <w:sz w:val="17"/>
              </w:rPr>
              <w:t>Alta (1)</w:t>
            </w:r>
            <w:r/>
          </w:p>
        </w:tc>
        <w:tc>
          <w:tcPr>
            <w:tcW w:type="dxa" w:w="2064"/>
          </w:tcPr>
          <w:p>
            <w:pPr>
              <w:spacing w:after="20"/>
            </w:pPr>
            <w:r/>
            <w:r>
              <w:rPr>
                <w:sz w:val="16"/>
              </w:rPr>
              <w:t xml:space="preserve">• Mantenimiento rutinario por estándares (microempresas): </w:t>
            </w:r>
            <w:r>
              <w:rPr>
                <w:b/>
                <w:color w:val="1E7A34"/>
                <w:sz w:val="16"/>
              </w:rPr>
              <w:t>Logrado</w:t>
            </w:r>
          </w:p>
        </w:tc>
      </w:tr>
    </w:tbl>
    <w:p>
      <w:pPr>
        <w:pStyle w:val="Heading2"/>
      </w:pPr>
      <w:r>
        <w:t>Adquisiciones críticas a monitorear</w:t>
      </w:r>
    </w:p>
    <w:p>
      <w:r>
        <w:rPr>
          <w:i/>
          <w:sz w:val="18"/>
        </w:rPr>
        <w:t>No se registran adquisiciones críticas ("Sí") en la hoja productos_adquisiciones para este programa.</w:t>
      </w:r>
    </w:p>
    <w:p>
      <w:r>
        <w:br w:type="page"/>
      </w:r>
    </w:p>
    <w:p>
      <w:pPr>
        <w:pStyle w:val="Heading1"/>
      </w:pPr>
      <w:r>
        <w:t>PIV-APP — CR-L1139 (4864/OC-CR)</w:t>
      </w:r>
    </w:p>
    <w:p>
      <w:pPr>
        <w:spacing w:after="160"/>
      </w:pPr>
      <w:r>
        <w:rPr>
          <w:i/>
          <w:sz w:val="21"/>
        </w:rPr>
        <w:t>Programa de Infraestructura Vial y promoción de Asociaciones Público-Privadas (APP)</w:t>
      </w:r>
    </w:p>
    <w:p>
      <w:pPr>
        <w:pStyle w:val="Heading2"/>
      </w:pPr>
      <w:r>
        <w:t>Indicadores de resultado por objetivo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79"/>
        <w:gridCol w:w="2579"/>
        <w:gridCol w:w="2579"/>
        <w:gridCol w:w="2579"/>
      </w:tblGrid>
      <w:tr>
        <w:trPr>
          <w:tblHeader w:val="true"/>
        </w:trPr>
        <w:tc>
          <w:tcPr>
            <w:tcW w:type="dxa" w:w="3095"/>
            <w:shd w:fill="2F5496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715"/>
            <w:shd w:fill="2F5496"/>
          </w:tcPr>
          <w:p>
            <w:r/>
            <w:r>
              <w:rPr>
                <w:b/>
                <w:color w:val="FFFFFF"/>
                <w:sz w:val="18"/>
              </w:rPr>
              <w:t>Resumen de indicadores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Probabilidad de logro</w:t>
            </w:r>
          </w:p>
        </w:tc>
        <w:tc>
          <w:tcPr>
            <w:tcW w:type="dxa" w:w="2064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Productos críticos asociados</w:t>
            </w:r>
          </w:p>
        </w:tc>
      </w:tr>
      <w:tr>
        <w:tc>
          <w:tcPr>
            <w:tcW w:type="dxa" w:w="3095"/>
          </w:tcPr>
          <w:p>
            <w:r/>
            <w:r>
              <w:rPr>
                <w:b/>
                <w:sz w:val="17"/>
              </w:rPr>
              <w:t>1–3. Disminuir costos operativos, tiempos de viaje y emisiones en la RVAC-GAM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6 indicadores (2 por objetivo) que miden costo de operación vehicular, tiempo de viaje y toneladas de CO2 evitadas, calculados para los tramos San José–San Ramón y Taras–La Lima. Comparten los mismos productos críticos.</w:t>
            </w:r>
          </w:p>
        </w:tc>
        <w:tc>
          <w:tcPr>
            <w:tcW w:type="dxa" w:w="1445"/>
          </w:tcPr>
          <w:p>
            <w:r/>
            <w:r>
              <w:rPr>
                <w:b/>
                <w:color w:val="1E7A34"/>
                <w:sz w:val="17"/>
              </w:rPr>
              <w:t>Alta (3)</w:t>
            </w:r>
            <w:r>
              <w:br/>
            </w:r>
            <w:r>
              <w:rPr>
                <w:b/>
                <w:color w:val="B86B00"/>
                <w:sz w:val="17"/>
              </w:rPr>
              <w:t>Media (3)</w:t>
            </w:r>
            <w:r/>
          </w:p>
        </w:tc>
        <w:tc>
          <w:tcPr>
            <w:tcW w:type="dxa" w:w="2064"/>
          </w:tcPr>
          <w:p>
            <w:pPr>
              <w:spacing w:after="20"/>
            </w:pPr>
            <w:r/>
            <w:r>
              <w:rPr>
                <w:sz w:val="16"/>
              </w:rPr>
              <w:t xml:space="preserve">• Lote #4 OBIS: Intercambio de Naranjo: </w:t>
            </w:r>
            <w:r>
              <w:rPr>
                <w:b/>
                <w:color w:val="B02A2A"/>
                <w:sz w:val="16"/>
              </w:rPr>
              <w:t>Retrasado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Lote #4 OBIS: Intercambio de Coyol: </w:t>
            </w:r>
            <w:r>
              <w:rPr>
                <w:b/>
                <w:color w:val="B02A2A"/>
                <w:sz w:val="16"/>
              </w:rPr>
              <w:t>Retrasado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Lote #4 OBIS: Intercambio de San Ramón: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Lote #4 OBIS: Intercambio de Grecia: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Intercambios Taras – La Lima construidos: </w:t>
            </w:r>
            <w:r>
              <w:rPr>
                <w:b/>
                <w:color w:val="B02A2A"/>
                <w:sz w:val="16"/>
              </w:rPr>
              <w:t>Retrasado</w:t>
            </w:r>
          </w:p>
        </w:tc>
      </w:tr>
      <w:tr>
        <w:tc>
          <w:tcPr>
            <w:tcW w:type="dxa" w:w="3095"/>
          </w:tcPr>
          <w:p>
            <w:r/>
            <w:r>
              <w:rPr>
                <w:b/>
                <w:sz w:val="17"/>
              </w:rPr>
              <w:t>4. Mejorar la capacidad técnica e institucional del GDCR para proyectos APP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1 indicador: estudios de estructuración integral de proyectos APP realizados.</w:t>
            </w:r>
          </w:p>
        </w:tc>
        <w:tc>
          <w:tcPr>
            <w:tcW w:type="dxa" w:w="1445"/>
          </w:tcPr>
          <w:p>
            <w:r/>
            <w:r>
              <w:rPr>
                <w:b/>
                <w:color w:val="B86B00"/>
                <w:sz w:val="17"/>
              </w:rPr>
              <w:t>Media (1)</w:t>
            </w:r>
            <w:r/>
          </w:p>
        </w:tc>
        <w:tc>
          <w:tcPr>
            <w:tcW w:type="dxa" w:w="2064"/>
          </w:tcPr>
          <w:p>
            <w:pPr>
              <w:spacing w:after="20"/>
            </w:pPr>
            <w:r/>
            <w:r>
              <w:rPr>
                <w:sz w:val="16"/>
              </w:rPr>
              <w:t xml:space="preserve">• Estudios de Estructuración integral en proyectos APP: </w:t>
            </w:r>
            <w:r>
              <w:rPr>
                <w:b/>
                <w:color w:val="B02A2A"/>
                <w:sz w:val="16"/>
              </w:rPr>
              <w:t>Retrasado</w:t>
            </w:r>
          </w:p>
        </w:tc>
      </w:tr>
    </w:tbl>
    <w:p>
      <w:pPr>
        <w:pStyle w:val="Heading2"/>
      </w:pPr>
      <w:r>
        <w:t>Adquisiciones críticas a monitorear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439"/>
        <w:gridCol w:w="3439"/>
        <w:gridCol w:w="3439"/>
      </w:tblGrid>
      <w:tr>
        <w:trPr>
          <w:tblHeader w:val="true"/>
        </w:trPr>
        <w:tc>
          <w:tcPr>
            <w:tcW w:type="dxa" w:w="4746"/>
            <w:shd w:fill="C0392B"/>
          </w:tcPr>
          <w:p>
            <w:r/>
            <w:r>
              <w:rPr>
                <w:b/>
                <w:color w:val="FFFFFF"/>
                <w:sz w:val="18"/>
              </w:rPr>
              <w:t>Adquisición crítica</w:t>
            </w:r>
          </w:p>
        </w:tc>
        <w:tc>
          <w:tcPr>
            <w:tcW w:type="dxa" w:w="1857"/>
            <w:shd w:fill="C0392B"/>
          </w:tcPr>
          <w:p>
            <w:r/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3715"/>
            <w:shd w:fill="C0392B"/>
          </w:tcPr>
          <w:p>
            <w:r/>
            <w:r>
              <w:rPr>
                <w:b/>
                <w:color w:val="FFFFFF"/>
                <w:sz w:val="18"/>
              </w:rPr>
              <w:t>Riesgo asociado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Diseño y Construcción de las obras en la Ruta Nacional No. 1, Sección San José - San Ramón correspondientes al Intercambio Grecia, Naranjo y San Ramón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Contrato en ejecución</w:t>
            </w:r>
          </w:p>
        </w:tc>
        <w:tc>
          <w:tcPr>
            <w:tcW w:type="dxa" w:w="3715"/>
          </w:tcPr>
          <w:p>
            <w:r/>
            <w:r>
              <w:rPr>
                <w:i/>
                <w:sz w:val="17"/>
              </w:rPr>
              <w:t>Sin riesgo reportado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Contratación del Diseño y Construcción con la ejecución completa y detallada de las obras en la Ruta Nacional No. 1, San José a San Ramón, correspondientes a: Lote No. 1 Intercambio de Coyol.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Contrato en ejecución</w:t>
            </w:r>
          </w:p>
        </w:tc>
        <w:tc>
          <w:tcPr>
            <w:tcW w:type="dxa" w:w="3715"/>
          </w:tcPr>
          <w:p>
            <w:r/>
            <w:r>
              <w:rPr>
                <w:i/>
                <w:sz w:val="17"/>
              </w:rPr>
              <w:t>Sin riesgo reportado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Firma consultora para realizar estudio de factibilidad y estructuración para la implementación del modelo de optimización de activos en la ruta interamericana norte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Contrato en ejecución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Proyecto #2 aún no definido por el OE.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Construcción de los intercambios y el mejoramiento de la Ruta Nacional No. 2, Sección Taras - La Lima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Contrato en ejecución</w:t>
            </w:r>
          </w:p>
        </w:tc>
        <w:tc>
          <w:tcPr>
            <w:tcW w:type="dxa" w:w="3715"/>
          </w:tcPr>
          <w:p>
            <w:r/>
            <w:r>
              <w:rPr>
                <w:i/>
                <w:sz w:val="17"/>
              </w:rPr>
              <w:t>Sin riesgo reportado</w:t>
            </w:r>
          </w:p>
        </w:tc>
      </w:tr>
    </w:tbl>
    <w:p>
      <w:r>
        <w:br w:type="page"/>
      </w:r>
    </w:p>
    <w:p>
      <w:pPr>
        <w:pStyle w:val="Heading1"/>
      </w:pPr>
      <w:r>
        <w:t>San Carlos — CR-L1151 (5823/OC-CR)</w:t>
      </w:r>
    </w:p>
    <w:p>
      <w:pPr>
        <w:spacing w:after="160"/>
      </w:pPr>
      <w:r>
        <w:rPr>
          <w:i/>
          <w:sz w:val="21"/>
        </w:rPr>
        <w:t>Programa de Infraestructura Vial y Movilidad Urbana: conectividad resiliente</w:t>
      </w:r>
    </w:p>
    <w:p>
      <w:pPr>
        <w:pStyle w:val="Heading2"/>
      </w:pPr>
      <w:r>
        <w:t>Indicadores de resultado por objetivo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79"/>
        <w:gridCol w:w="2579"/>
        <w:gridCol w:w="2579"/>
        <w:gridCol w:w="2579"/>
      </w:tblGrid>
      <w:tr>
        <w:trPr>
          <w:tblHeader w:val="true"/>
        </w:trPr>
        <w:tc>
          <w:tcPr>
            <w:tcW w:type="dxa" w:w="3095"/>
            <w:shd w:fill="2F5496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715"/>
            <w:shd w:fill="2F5496"/>
          </w:tcPr>
          <w:p>
            <w:r/>
            <w:r>
              <w:rPr>
                <w:b/>
                <w:color w:val="FFFFFF"/>
                <w:sz w:val="18"/>
              </w:rPr>
              <w:t>Resumen de indicadores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Probabilidad de logro</w:t>
            </w:r>
          </w:p>
        </w:tc>
        <w:tc>
          <w:tcPr>
            <w:tcW w:type="dxa" w:w="2064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Productos críticos asociados</w:t>
            </w:r>
          </w:p>
        </w:tc>
      </w:tr>
      <w:tr>
        <w:tc>
          <w:tcPr>
            <w:tcW w:type="dxa" w:w="3095"/>
          </w:tcPr>
          <w:p>
            <w:r/>
            <w:r>
              <w:rPr>
                <w:b/>
                <w:sz w:val="17"/>
              </w:rPr>
              <w:t>1. Mejorar la circulación entre las zonas norte y centro del país (segura, sostenible, resiliente al CC y con enfoque de género)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8 indicadores: tiempos y costos de operación por tipo de vehículo en el tramo Florencia–RN-1, nivel de seguridad vial (iRAP), participación femenina en obras y sitios afectados por inundaciones.</w:t>
            </w:r>
          </w:p>
        </w:tc>
        <w:tc>
          <w:tcPr>
            <w:tcW w:type="dxa" w:w="1445"/>
          </w:tcPr>
          <w:p>
            <w:r/>
            <w:r>
              <w:rPr>
                <w:b/>
                <w:color w:val="B86B00"/>
                <w:sz w:val="17"/>
              </w:rPr>
              <w:t>Media (7)</w:t>
            </w:r>
            <w:r>
              <w:br/>
            </w:r>
            <w:r>
              <w:rPr>
                <w:b/>
                <w:color w:val="1E7A34"/>
                <w:sz w:val="17"/>
              </w:rPr>
              <w:t>Alta (1)</w:t>
            </w:r>
            <w:r/>
          </w:p>
        </w:tc>
        <w:tc>
          <w:tcPr>
            <w:tcW w:type="dxa" w:w="2064"/>
          </w:tcPr>
          <w:p>
            <w:pPr>
              <w:spacing w:after="20"/>
            </w:pPr>
            <w:r/>
            <w:r>
              <w:rPr>
                <w:sz w:val="16"/>
              </w:rPr>
              <w:t xml:space="preserve">• Tramo Central Sifón – Sucre: </w:t>
            </w:r>
            <w:r>
              <w:rPr>
                <w:b/>
                <w:color w:val="B86B00"/>
                <w:sz w:val="16"/>
              </w:rPr>
              <w:t>Pausado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Obras complementarias Tramo Central Sucre – Abundancia: </w:t>
            </w:r>
            <w:r>
              <w:rPr>
                <w:b/>
                <w:color w:val="B86B00"/>
                <w:sz w:val="16"/>
              </w:rPr>
              <w:t>Pausado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Punta Sur de la RN-35 diseñado y construido: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Obras complementarias en la Punta Norte: </w:t>
            </w:r>
            <w:r>
              <w:rPr>
                <w:b/>
                <w:color w:val="1E7A34"/>
                <w:sz w:val="16"/>
              </w:rPr>
              <w:t>Logrado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Guía de indicadores de monitoreo del corredor RN-35: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Plan de comunicación sobre conducción segura: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Plan de mejora de gestión de riesgo de desastres y CC: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Programa de capacitación en pliegos con enfoque de género: </w:t>
            </w:r>
            <w:r>
              <w:rPr>
                <w:b/>
                <w:color w:val="1F4E79"/>
                <w:sz w:val="16"/>
              </w:rPr>
              <w:t>En tiempo</w:t>
            </w:r>
          </w:p>
        </w:tc>
      </w:tr>
    </w:tbl>
    <w:p>
      <w:pPr>
        <w:pStyle w:val="Heading2"/>
      </w:pPr>
      <w:r>
        <w:t>Adquisiciones críticas a monitorear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439"/>
        <w:gridCol w:w="3439"/>
        <w:gridCol w:w="3439"/>
      </w:tblGrid>
      <w:tr>
        <w:trPr>
          <w:tblHeader w:val="true"/>
        </w:trPr>
        <w:tc>
          <w:tcPr>
            <w:tcW w:type="dxa" w:w="4746"/>
            <w:shd w:fill="C0392B"/>
          </w:tcPr>
          <w:p>
            <w:r/>
            <w:r>
              <w:rPr>
                <w:b/>
                <w:color w:val="FFFFFF"/>
                <w:sz w:val="18"/>
              </w:rPr>
              <w:t>Adquisición crítica</w:t>
            </w:r>
          </w:p>
        </w:tc>
        <w:tc>
          <w:tcPr>
            <w:tcW w:type="dxa" w:w="1857"/>
            <w:shd w:fill="C0392B"/>
          </w:tcPr>
          <w:p>
            <w:r/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3715"/>
            <w:shd w:fill="C0392B"/>
          </w:tcPr>
          <w:p>
            <w:r/>
            <w:r>
              <w:rPr>
                <w:b/>
                <w:color w:val="FFFFFF"/>
                <w:sz w:val="18"/>
              </w:rPr>
              <w:t>Riesgo asociado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Contratación para el diseño y construcción del Tramo Central de la Ruta Nacional No. 35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Evaluación Técnica de Ofertas/Propuestas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En análisis por FMP y TSP junto con el OE sobre siguiente estado del proceso: declaración de infructuoso, cancelación, o nueva fuente de financiamiento.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Contratación del diseño integral, construcción y mantenimiento por niveles de servicio de las obras de la Ruta Nacional No. 35, Punta Sur.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Contrato en ejecución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Lote 1 firmado</w:t>
              <w:br/>
              <w:t>Lote 2 firmado.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Contratación para el diseño y construcción de los sistemas de iluminación vial  para la Punta Norte de la RN 35 (Sección Ciudad Quesada / Florencia)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Contrato en ejecución</w:t>
            </w:r>
          </w:p>
        </w:tc>
        <w:tc>
          <w:tcPr>
            <w:tcW w:type="dxa" w:w="3715"/>
          </w:tcPr>
          <w:p>
            <w:r/>
            <w:r>
              <w:rPr>
                <w:i/>
                <w:sz w:val="17"/>
              </w:rPr>
              <w:t>Sin riesgo reportado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Contratación para el diseño y construcción de obras menores conexas de seguridad vial y pasos de fauna para la Punta Norte de la RN 35 (Sección Ciudad Quesada / Florencia)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Previsto</w:t>
            </w:r>
          </w:p>
        </w:tc>
        <w:tc>
          <w:tcPr>
            <w:tcW w:type="dxa" w:w="3715"/>
          </w:tcPr>
          <w:p>
            <w:r/>
            <w:r>
              <w:rPr>
                <w:i/>
                <w:sz w:val="17"/>
              </w:rPr>
              <w:t>Sin riesgo reportado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Contratación de firma consultora para desarrollar una guía de indicadores mínimos para el monitoreo de la gestión de operación y mantenimiento del corredor RN35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Previsto</w:t>
            </w:r>
          </w:p>
        </w:tc>
        <w:tc>
          <w:tcPr>
            <w:tcW w:type="dxa" w:w="3715"/>
          </w:tcPr>
          <w:p>
            <w:r/>
            <w:r>
              <w:rPr>
                <w:i/>
                <w:sz w:val="17"/>
              </w:rPr>
              <w:t>Sin riesgo reportado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Consultoría de firma consultora  desarrollar  un plan de comunicación para promoción de prácticas seguras de conducción en el corredor vial RN35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Previsto</w:t>
            </w:r>
          </w:p>
        </w:tc>
        <w:tc>
          <w:tcPr>
            <w:tcW w:type="dxa" w:w="3715"/>
          </w:tcPr>
          <w:p>
            <w:r/>
            <w:r>
              <w:rPr>
                <w:i/>
                <w:sz w:val="17"/>
              </w:rPr>
              <w:t>Sin riesgo reportado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Contratación de firma consultora para desarrollar e implementar  un plan de mejora de las capacidades de gestión de riesgo de desastres y cambio climático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Previsto</w:t>
            </w:r>
          </w:p>
        </w:tc>
        <w:tc>
          <w:tcPr>
            <w:tcW w:type="dxa" w:w="3715"/>
          </w:tcPr>
          <w:p>
            <w:r/>
            <w:r>
              <w:rPr>
                <w:i/>
                <w:sz w:val="17"/>
              </w:rPr>
              <w:t>Sin riesgo reportado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Contratación de firma consultora para elaborar un programa de capacitación a Funcionarios Públicos para el diseño de pliegos con enfoque de Género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Previsto</w:t>
            </w:r>
          </w:p>
        </w:tc>
        <w:tc>
          <w:tcPr>
            <w:tcW w:type="dxa" w:w="3715"/>
          </w:tcPr>
          <w:p>
            <w:r/>
            <w:r>
              <w:rPr>
                <w:i/>
                <w:sz w:val="17"/>
              </w:rPr>
              <w:t>Sin riesgo reportado</w:t>
            </w:r>
          </w:p>
        </w:tc>
      </w:tr>
    </w:tbl>
    <w:p>
      <w:r>
        <w:br w:type="page"/>
      </w:r>
    </w:p>
    <w:p>
      <w:pPr>
        <w:pStyle w:val="Heading1"/>
      </w:pPr>
      <w:r>
        <w:t>Seguridad Ciudadana — CR-L1137 (4871/OC-CR)</w:t>
      </w:r>
    </w:p>
    <w:p>
      <w:pPr>
        <w:spacing w:after="160"/>
      </w:pPr>
      <w:r>
        <w:rPr>
          <w:i/>
          <w:sz w:val="21"/>
        </w:rPr>
        <w:t>Programa de Seguridad Ciudadana y Prevención de Violencia</w:t>
      </w:r>
    </w:p>
    <w:p>
      <w:pPr>
        <w:pStyle w:val="Heading2"/>
      </w:pPr>
      <w:r>
        <w:t>Indicadores de resultado por objetivo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79"/>
        <w:gridCol w:w="2579"/>
        <w:gridCol w:w="2579"/>
        <w:gridCol w:w="2579"/>
      </w:tblGrid>
      <w:tr>
        <w:trPr>
          <w:tblHeader w:val="true"/>
        </w:trPr>
        <w:tc>
          <w:tcPr>
            <w:tcW w:type="dxa" w:w="3095"/>
            <w:shd w:fill="2F5496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715"/>
            <w:shd w:fill="2F5496"/>
          </w:tcPr>
          <w:p>
            <w:r/>
            <w:r>
              <w:rPr>
                <w:b/>
                <w:color w:val="FFFFFF"/>
                <w:sz w:val="18"/>
              </w:rPr>
              <w:t>Resumen de indicadores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Probabilidad de logro</w:t>
            </w:r>
          </w:p>
        </w:tc>
        <w:tc>
          <w:tcPr>
            <w:tcW w:type="dxa" w:w="2064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Productos críticos asociados</w:t>
            </w:r>
          </w:p>
        </w:tc>
      </w:tr>
      <w:tr>
        <w:tc>
          <w:tcPr>
            <w:tcW w:type="dxa" w:w="3095"/>
          </w:tcPr>
          <w:p>
            <w:r/>
            <w:r>
              <w:rPr>
                <w:b/>
                <w:sz w:val="17"/>
              </w:rPr>
              <w:t>1. Reducción de homicidios y asaltos en distritos priorizados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2 indicadores: tasa de homicidios y de asaltos en los distritos de intervención.</w:t>
            </w:r>
          </w:p>
        </w:tc>
        <w:tc>
          <w:tcPr>
            <w:tcW w:type="dxa" w:w="1445"/>
          </w:tcPr>
          <w:p>
            <w:r/>
            <w:r>
              <w:rPr>
                <w:b/>
                <w:color w:val="1E7A34"/>
                <w:sz w:val="17"/>
              </w:rPr>
              <w:t>Alta (1)</w:t>
            </w:r>
            <w:r>
              <w:br/>
            </w:r>
            <w:r>
              <w:rPr>
                <w:b/>
                <w:color w:val="B86B00"/>
                <w:sz w:val="17"/>
              </w:rPr>
              <w:t>Media (1)</w:t>
            </w:r>
            <w:r/>
          </w:p>
        </w:tc>
        <w:tc>
          <w:tcPr>
            <w:tcW w:type="dxa" w:w="2064"/>
          </w:tcPr>
          <w:p>
            <w:pPr>
              <w:spacing w:after="20"/>
            </w:pPr>
            <w:r/>
            <w:r>
              <w:rPr>
                <w:sz w:val="16"/>
              </w:rPr>
              <w:t xml:space="preserve">• Centro de Mando y Control Policial: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Delegaciones policiales (enfoque comunitario):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Departamentos de la FP capacitados en análisis criminal: </w:t>
            </w:r>
            <w:r>
              <w:rPr>
                <w:b/>
                <w:color w:val="1E7A34"/>
                <w:sz w:val="16"/>
              </w:rPr>
              <w:t>Logrado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Estrategias policiales basadas en evidencia: </w:t>
            </w:r>
            <w:r>
              <w:rPr>
                <w:b/>
                <w:color w:val="1F4E79"/>
                <w:sz w:val="16"/>
              </w:rPr>
              <w:t>En tiempo</w:t>
            </w:r>
          </w:p>
        </w:tc>
      </w:tr>
      <w:tr>
        <w:tc>
          <w:tcPr>
            <w:tcW w:type="dxa" w:w="3095"/>
          </w:tcPr>
          <w:p>
            <w:r/>
            <w:r>
              <w:rPr>
                <w:b/>
                <w:sz w:val="17"/>
              </w:rPr>
              <w:t>2. Reducción de comportamientos delictivos de adolescentes y jóvenes en los CCP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2 indicadores: exclusión escolar y aprehensiones de menores en distritos de influencia de los Centros Cívicos por la Paz (CCP).</w:t>
            </w:r>
          </w:p>
        </w:tc>
        <w:tc>
          <w:tcPr>
            <w:tcW w:type="dxa" w:w="1445"/>
          </w:tcPr>
          <w:p>
            <w:r/>
            <w:r>
              <w:rPr>
                <w:b/>
                <w:color w:val="B86B00"/>
                <w:sz w:val="17"/>
              </w:rPr>
              <w:t>Media (2)</w:t>
            </w:r>
            <w:r/>
          </w:p>
        </w:tc>
        <w:tc>
          <w:tcPr>
            <w:tcW w:type="dxa" w:w="2064"/>
          </w:tcPr>
          <w:p>
            <w:pPr>
              <w:spacing w:after="20"/>
            </w:pPr>
            <w:r/>
            <w:r>
              <w:rPr>
                <w:sz w:val="16"/>
              </w:rPr>
              <w:t xml:space="preserve">• Centros Cívicos (CCP) diseñados, construidos y equipados: </w:t>
            </w:r>
            <w:r>
              <w:rPr>
                <w:b/>
                <w:color w:val="B02A2A"/>
                <w:sz w:val="16"/>
              </w:rPr>
              <w:t>Retrasado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Estrategia de comunicación social de los CCP: </w:t>
            </w:r>
            <w:r>
              <w:rPr>
                <w:b/>
                <w:color w:val="1E7A34"/>
                <w:sz w:val="16"/>
              </w:rPr>
              <w:t>Logrado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Modelo de gestión y atención de los CCP: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Municipalidades y sociedad civil capacitadas en prevención: </w:t>
            </w:r>
            <w:r>
              <w:rPr>
                <w:b/>
                <w:color w:val="1E7A34"/>
                <w:sz w:val="16"/>
              </w:rPr>
              <w:t>Logrado</w:t>
            </w:r>
          </w:p>
        </w:tc>
      </w:tr>
    </w:tbl>
    <w:p>
      <w:pPr>
        <w:pStyle w:val="Heading2"/>
      </w:pPr>
      <w:r>
        <w:t>Adquisiciones críticas a monitorear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439"/>
        <w:gridCol w:w="3439"/>
        <w:gridCol w:w="3439"/>
      </w:tblGrid>
      <w:tr>
        <w:trPr>
          <w:tblHeader w:val="true"/>
        </w:trPr>
        <w:tc>
          <w:tcPr>
            <w:tcW w:type="dxa" w:w="4746"/>
            <w:shd w:fill="C0392B"/>
          </w:tcPr>
          <w:p>
            <w:r/>
            <w:r>
              <w:rPr>
                <w:b/>
                <w:color w:val="FFFFFF"/>
                <w:sz w:val="18"/>
              </w:rPr>
              <w:t>Adquisición crítica</w:t>
            </w:r>
          </w:p>
        </w:tc>
        <w:tc>
          <w:tcPr>
            <w:tcW w:type="dxa" w:w="1857"/>
            <w:shd w:fill="C0392B"/>
          </w:tcPr>
          <w:p>
            <w:r/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3715"/>
            <w:shd w:fill="C0392B"/>
          </w:tcPr>
          <w:p>
            <w:r/>
            <w:r>
              <w:rPr>
                <w:b/>
                <w:color w:val="FFFFFF"/>
                <w:sz w:val="18"/>
              </w:rPr>
              <w:t>Riesgo asociado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Diseño, demolición, construcción y equipamiento de la Dirección Policial de la Fuerza Pública en Limón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Contrato en ejecución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Procesos estimados para finalizar en 2027 cerca del fin del plazo de desembolsos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Diseño, construcción, equipamiento de la Delegación Policial de El Roble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Contrato en ejecución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Procesos estimados para finalizar en 2027 cerca del fin del plazo de desembolsos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Diseño, construcción y equipamiento del Centro de Mando y Control del Ministerio de Seguridad Pública en San José.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Contrato en ejecución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Adenda para incorporar equipo tecnológico tiene un plazo de ejecución cercano a la finalización del programa.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Contratación de un(a) Consultor(a) por demanda en Producción Audiovisual para apoyar la gestión de la Gerencia del Componente 2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Contrato en ejecución</w:t>
            </w:r>
          </w:p>
        </w:tc>
        <w:tc>
          <w:tcPr>
            <w:tcW w:type="dxa" w:w="3715"/>
          </w:tcPr>
          <w:p>
            <w:r/>
            <w:r>
              <w:rPr>
                <w:i/>
                <w:sz w:val="17"/>
              </w:rPr>
              <w:t>Sin riesgo reportado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Contratación de un(a) Consultor(a) por demanda con experiencia en Género para apoyar la gestión de la Gerencia del Componente 2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Contrato en ejecución</w:t>
            </w:r>
          </w:p>
        </w:tc>
        <w:tc>
          <w:tcPr>
            <w:tcW w:type="dxa" w:w="3715"/>
          </w:tcPr>
          <w:p>
            <w:r/>
            <w:r>
              <w:rPr>
                <w:i/>
                <w:sz w:val="17"/>
              </w:rPr>
              <w:t>Sin riesgo reportado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Diseño, construcción, equipamiento y mantenimiento del CCP en Pérez Zeledón (850 m²)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Contrato en ejecución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Procesos estimados para finalizar en 2027 cerca del fin del plazo de desembolsos. Avance físico limitado con riesgo de finalizar con retraso.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Diseño, construcción, equipamiento y mantenimiento del CCP en San José  (850 m²)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Contrato en ejecución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Procesos estimados para finalizar en 2027 cerca del fin del plazo de desembolsos. Avance físico limitado con riesgo de finalizar con retraso.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Diseño, construcción, equipamiento y mantenimiento del CCP en Goicoechea (750 m²)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Contrato en ejecución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Procesos estimados para finalizar en 2027 cerca del fin del plazo de desembolsos. Avance físico limitado con riesgo de finalizar con retraso.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Contratación 2 de Profesional que brinde asesoría técnica y apoyo operativo a la Gerencia Técnica del Componente 2 para el desarrollo del producto "Modelo Preventivo de Centros Cívicos por la Paz"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Contrato en ejecución</w:t>
            </w:r>
          </w:p>
        </w:tc>
        <w:tc>
          <w:tcPr>
            <w:tcW w:type="dxa" w:w="3715"/>
          </w:tcPr>
          <w:p>
            <w:r/>
            <w:r>
              <w:rPr>
                <w:i/>
                <w:sz w:val="17"/>
              </w:rPr>
              <w:t>Sin riesgo reportado</w:t>
            </w:r>
          </w:p>
        </w:tc>
      </w:tr>
    </w:tbl>
    <w:p>
      <w:r>
        <w:br w:type="page"/>
      </w:r>
    </w:p>
    <w:p>
      <w:pPr>
        <w:pStyle w:val="Heading1"/>
      </w:pPr>
      <w:r>
        <w:t>Migración — CR-J0002 (5777/GR-CR)</w:t>
      </w:r>
    </w:p>
    <w:p>
      <w:pPr>
        <w:spacing w:after="160"/>
      </w:pPr>
      <w:r>
        <w:rPr>
          <w:i/>
          <w:sz w:val="21"/>
        </w:rPr>
        <w:t>Programa Integral de Seguridad Ciudadana y Prevención de la Violencia para la Inclusión de Grupos Migrantes Vulnerables</w:t>
      </w:r>
    </w:p>
    <w:p>
      <w:pPr>
        <w:pStyle w:val="Heading2"/>
      </w:pPr>
      <w:r>
        <w:t>Indicadores de resultado por objetivo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79"/>
        <w:gridCol w:w="2579"/>
        <w:gridCol w:w="2579"/>
        <w:gridCol w:w="2579"/>
      </w:tblGrid>
      <w:tr>
        <w:trPr>
          <w:tblHeader w:val="true"/>
        </w:trPr>
        <w:tc>
          <w:tcPr>
            <w:tcW w:type="dxa" w:w="3095"/>
            <w:shd w:fill="2F5496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715"/>
            <w:shd w:fill="2F5496"/>
          </w:tcPr>
          <w:p>
            <w:r/>
            <w:r>
              <w:rPr>
                <w:b/>
                <w:color w:val="FFFFFF"/>
                <w:sz w:val="18"/>
              </w:rPr>
              <w:t>Resumen de indicadores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Probabilidad de logro</w:t>
            </w:r>
          </w:p>
        </w:tc>
        <w:tc>
          <w:tcPr>
            <w:tcW w:type="dxa" w:w="2064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Productos críticos asociados</w:t>
            </w:r>
          </w:p>
        </w:tc>
      </w:tr>
      <w:tr>
        <w:tc>
          <w:tcPr>
            <w:tcW w:type="dxa" w:w="3095"/>
          </w:tcPr>
          <w:p>
            <w:r/>
            <w:r>
              <w:rPr>
                <w:b/>
                <w:sz w:val="17"/>
              </w:rPr>
              <w:t>1. Reducir la vulnerabilidad de la población migrante a la violencia, la marginalidad y la discriminación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4 indicadores: tiempo de trámite de refugio, reacciones xenófobas en redes, asistencia recurrente a centros de acogida y resolución de protección especial.</w:t>
            </w:r>
          </w:p>
        </w:tc>
        <w:tc>
          <w:tcPr>
            <w:tcW w:type="dxa" w:w="1445"/>
          </w:tcPr>
          <w:p>
            <w:r/>
            <w:r>
              <w:rPr>
                <w:b/>
                <w:color w:val="B86B00"/>
                <w:sz w:val="17"/>
              </w:rPr>
              <w:t>Media (2)</w:t>
            </w:r>
            <w:r>
              <w:br/>
            </w:r>
            <w:r>
              <w:rPr>
                <w:b/>
                <w:color w:val="1E7A34"/>
                <w:sz w:val="17"/>
              </w:rPr>
              <w:t>Alta (1)</w:t>
            </w:r>
            <w:r>
              <w:br/>
            </w:r>
            <w:r>
              <w:rPr>
                <w:b/>
                <w:color w:val="B02A2A"/>
                <w:sz w:val="17"/>
              </w:rPr>
              <w:t>Baja (1)</w:t>
            </w:r>
            <w:r/>
          </w:p>
        </w:tc>
        <w:tc>
          <w:tcPr>
            <w:tcW w:type="dxa" w:w="2064"/>
          </w:tcPr>
          <w:p>
            <w:pPr>
              <w:spacing w:after="20"/>
            </w:pPr>
            <w:r/>
            <w:r>
              <w:rPr>
                <w:sz w:val="16"/>
              </w:rPr>
              <w:t xml:space="preserve">• Unidad de refugio construida y equipada: </w:t>
            </w:r>
            <w:r>
              <w:rPr>
                <w:b/>
                <w:color w:val="B02A2A"/>
                <w:sz w:val="16"/>
              </w:rPr>
              <w:t>Retrasado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Apoyo al mecanismo de regularización migrante: </w:t>
            </w:r>
            <w:r>
              <w:rPr>
                <w:b/>
                <w:color w:val="B02A2A"/>
                <w:sz w:val="16"/>
              </w:rPr>
              <w:t>Retrasado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Centro Cívico de Upala: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Actualización de plataforma tecnológica de la DGME: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Campaña de comunicación contra la xenofobia: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Procesos formativos para Centros Cívicos: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Programas de formación en prevención de trata y tráfico: </w:t>
            </w:r>
            <w:r>
              <w:rPr>
                <w:b/>
                <w:color w:val="1F4E79"/>
                <w:sz w:val="16"/>
              </w:rPr>
              <w:t>En tiempo</w:t>
            </w:r>
          </w:p>
        </w:tc>
      </w:tr>
    </w:tbl>
    <w:p>
      <w:pPr>
        <w:pStyle w:val="Heading2"/>
      </w:pPr>
      <w:r>
        <w:t>Adquisiciones críticas a monitorear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439"/>
        <w:gridCol w:w="3439"/>
        <w:gridCol w:w="3439"/>
      </w:tblGrid>
      <w:tr>
        <w:trPr>
          <w:tblHeader w:val="true"/>
        </w:trPr>
        <w:tc>
          <w:tcPr>
            <w:tcW w:type="dxa" w:w="4746"/>
            <w:shd w:fill="C0392B"/>
          </w:tcPr>
          <w:p>
            <w:r/>
            <w:r>
              <w:rPr>
                <w:b/>
                <w:color w:val="FFFFFF"/>
                <w:sz w:val="18"/>
              </w:rPr>
              <w:t>Adquisición crítica</w:t>
            </w:r>
          </w:p>
        </w:tc>
        <w:tc>
          <w:tcPr>
            <w:tcW w:type="dxa" w:w="1857"/>
            <w:shd w:fill="C0392B"/>
          </w:tcPr>
          <w:p>
            <w:r/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3715"/>
            <w:shd w:fill="C0392B"/>
          </w:tcPr>
          <w:p>
            <w:r/>
            <w:r>
              <w:rPr>
                <w:b/>
                <w:color w:val="FFFFFF"/>
                <w:sz w:val="18"/>
              </w:rPr>
              <w:t>Riesgo asociado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Diseño, construcción y equipamiento Unidad de Refugio y obras conexas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Evaluación de Ofertas/Propuestas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Procesos estimados para finalizar en 2027 cerca del fin del plazo de desembolsos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Diseño, implementación y evaluación de campaña de sensibilización contra la xenofobia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Previsto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El proceso de adquisición no ha iniciado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Diseño, Construcción y Equipamiento del Centro Cívico para la Paz de Upala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Contrato en ejecución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Procesos estimados para finalizar en 2027 cerca del fin del plazo de desembolsos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Consultoría formador(a) experto(a) en prevención del tráfico ilícito 1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Previsto</w:t>
            </w:r>
          </w:p>
        </w:tc>
        <w:tc>
          <w:tcPr>
            <w:tcW w:type="dxa" w:w="3715"/>
          </w:tcPr>
          <w:p>
            <w:r/>
            <w:r>
              <w:rPr>
                <w:i/>
                <w:sz w:val="17"/>
              </w:rPr>
              <w:t>Sin riesgo reportado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Consultoría formador(a) experto(a) en prevención del tráfico ilícito 2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Previsto</w:t>
            </w:r>
          </w:p>
        </w:tc>
        <w:tc>
          <w:tcPr>
            <w:tcW w:type="dxa" w:w="3715"/>
          </w:tcPr>
          <w:p>
            <w:r/>
            <w:r>
              <w:rPr>
                <w:i/>
                <w:sz w:val="17"/>
              </w:rPr>
              <w:t>Sin riesgo reportado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Consultoría formador(a) experto(a) en prevención del tráfico ilícito 3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Previsto</w:t>
            </w:r>
          </w:p>
        </w:tc>
        <w:tc>
          <w:tcPr>
            <w:tcW w:type="dxa" w:w="3715"/>
          </w:tcPr>
          <w:p>
            <w:r/>
            <w:r>
              <w:rPr>
                <w:i/>
                <w:sz w:val="17"/>
              </w:rPr>
              <w:t>Sin riesgo reportado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Gestor Metodológico Zona Huetar Norte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Contrato en ejecución</w:t>
            </w:r>
          </w:p>
        </w:tc>
        <w:tc>
          <w:tcPr>
            <w:tcW w:type="dxa" w:w="3715"/>
          </w:tcPr>
          <w:p>
            <w:r/>
            <w:r>
              <w:rPr>
                <w:i/>
                <w:sz w:val="17"/>
              </w:rPr>
              <w:t>Sin riesgo reportado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Actualización plataforma tecnológica DGME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Previsto</w:t>
            </w:r>
          </w:p>
        </w:tc>
        <w:tc>
          <w:tcPr>
            <w:tcW w:type="dxa" w:w="3715"/>
          </w:tcPr>
          <w:p>
            <w:r/>
            <w:r>
              <w:rPr>
                <w:i/>
                <w:sz w:val="17"/>
              </w:rPr>
              <w:t>Sin riesgo reportado</w:t>
            </w:r>
          </w:p>
        </w:tc>
      </w:tr>
    </w:tbl>
    <w:p>
      <w:r>
        <w:br w:type="page"/>
      </w:r>
    </w:p>
    <w:p>
      <w:pPr>
        <w:pStyle w:val="Heading1"/>
      </w:pPr>
      <w:r>
        <w:t>Educación — CR-L1152 (5967/OC-CR)</w:t>
      </w:r>
    </w:p>
    <w:p>
      <w:pPr>
        <w:spacing w:after="160"/>
      </w:pPr>
      <w:r>
        <w:rPr>
          <w:i/>
          <w:sz w:val="21"/>
        </w:rPr>
        <w:t>Mejora de la calidad del Sistema Educativo en Costa Rica</w:t>
      </w:r>
    </w:p>
    <w:p>
      <w:pPr>
        <w:pStyle w:val="Heading2"/>
      </w:pPr>
      <w:r>
        <w:t>Indicadores de resultado por objetivo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79"/>
        <w:gridCol w:w="2579"/>
        <w:gridCol w:w="2579"/>
        <w:gridCol w:w="2579"/>
      </w:tblGrid>
      <w:tr>
        <w:trPr>
          <w:tblHeader w:val="true"/>
        </w:trPr>
        <w:tc>
          <w:tcPr>
            <w:tcW w:type="dxa" w:w="3095"/>
            <w:shd w:fill="2F5496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715"/>
            <w:shd w:fill="2F5496"/>
          </w:tcPr>
          <w:p>
            <w:r/>
            <w:r>
              <w:rPr>
                <w:b/>
                <w:color w:val="FFFFFF"/>
                <w:sz w:val="18"/>
              </w:rPr>
              <w:t>Resumen de indicadores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Probabilidad de logro</w:t>
            </w:r>
          </w:p>
        </w:tc>
        <w:tc>
          <w:tcPr>
            <w:tcW w:type="dxa" w:w="2064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Productos críticos asociados</w:t>
            </w:r>
          </w:p>
        </w:tc>
      </w:tr>
      <w:tr>
        <w:tc>
          <w:tcPr>
            <w:tcW w:type="dxa" w:w="3095"/>
          </w:tcPr>
          <w:p>
            <w:r/>
            <w:r>
              <w:rPr>
                <w:b/>
                <w:sz w:val="17"/>
              </w:rPr>
              <w:t>1. Fortalecer los servicios educativos para recuperar aprendizajes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3 indicadores: centros con intervención de recuperación y estudiantes de primaria/secundaria que completan tutorías.</w:t>
            </w:r>
          </w:p>
        </w:tc>
        <w:tc>
          <w:tcPr>
            <w:tcW w:type="dxa" w:w="1445"/>
          </w:tcPr>
          <w:p>
            <w:r/>
            <w:r>
              <w:rPr>
                <w:b/>
                <w:color w:val="B86B00"/>
                <w:sz w:val="17"/>
              </w:rPr>
              <w:t>Media (3)</w:t>
            </w:r>
            <w:r/>
          </w:p>
        </w:tc>
        <w:tc>
          <w:tcPr>
            <w:tcW w:type="dxa" w:w="2064"/>
          </w:tcPr>
          <w:p>
            <w:pPr>
              <w:spacing w:after="20"/>
            </w:pPr>
            <w:r/>
            <w:r>
              <w:rPr>
                <w:sz w:val="16"/>
              </w:rPr>
              <w:t xml:space="preserve">• Planes de Recuperación de Aprendizajes (PRA):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Servicios individuales de tutorías remotas: </w:t>
            </w:r>
            <w:r>
              <w:rPr>
                <w:b/>
                <w:color w:val="1F4E79"/>
                <w:sz w:val="16"/>
              </w:rPr>
              <w:t>En tiempo</w:t>
            </w:r>
          </w:p>
        </w:tc>
      </w:tr>
      <w:tr>
        <w:tc>
          <w:tcPr>
            <w:tcW w:type="dxa" w:w="3095"/>
          </w:tcPr>
          <w:p>
            <w:r/>
            <w:r>
              <w:rPr>
                <w:b/>
                <w:sz w:val="17"/>
              </w:rPr>
              <w:t>2. Fortalecer la calidad de la enseñanza-aprendizaje por competencias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6 indicadores de uso de plataformas, textos y equipos educativos, formación docente con enfoque de género y clima escolar.</w:t>
            </w:r>
          </w:p>
        </w:tc>
        <w:tc>
          <w:tcPr>
            <w:tcW w:type="dxa" w:w="1445"/>
          </w:tcPr>
          <w:p>
            <w:r/>
            <w:r>
              <w:rPr>
                <w:b/>
                <w:color w:val="B86B00"/>
                <w:sz w:val="17"/>
              </w:rPr>
              <w:t>Media (6)</w:t>
            </w:r>
            <w:r/>
          </w:p>
        </w:tc>
        <w:tc>
          <w:tcPr>
            <w:tcW w:type="dxa" w:w="2064"/>
          </w:tcPr>
          <w:p>
            <w:pPr>
              <w:spacing w:after="20"/>
            </w:pPr>
            <w:r/>
            <w:r>
              <w:rPr>
                <w:sz w:val="16"/>
              </w:rPr>
              <w:t xml:space="preserve">• Plataformas educativas (género y diversidad):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Programas de estudio actualizados por competencias: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Formación docente en competencias: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Libros de texto y cuadernos de estudiante: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Programas de clima escolar: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Equipos tecnológicos educativos de aula: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Computadoras personales entregadas: </w:t>
            </w:r>
            <w:r>
              <w:rPr>
                <w:b/>
                <w:color w:val="1F4E79"/>
                <w:sz w:val="16"/>
              </w:rPr>
              <w:t>En tiempo</w:t>
            </w:r>
          </w:p>
        </w:tc>
      </w:tr>
      <w:tr>
        <w:tc>
          <w:tcPr>
            <w:tcW w:type="dxa" w:w="3095"/>
          </w:tcPr>
          <w:p>
            <w:r/>
            <w:r>
              <w:rPr>
                <w:b/>
                <w:sz w:val="17"/>
              </w:rPr>
              <w:t>3. Fortalecer la capacidad de gestión del MEP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3 indicadores: producción de materiales digitales, informes de gestión docente y reportes de Juntas Educativas/Administrativas.</w:t>
            </w:r>
          </w:p>
        </w:tc>
        <w:tc>
          <w:tcPr>
            <w:tcW w:type="dxa" w:w="1445"/>
          </w:tcPr>
          <w:p>
            <w:r/>
            <w:r>
              <w:rPr>
                <w:b/>
                <w:color w:val="B86B00"/>
                <w:sz w:val="17"/>
              </w:rPr>
              <w:t>Media (3)</w:t>
            </w:r>
            <w:r/>
          </w:p>
        </w:tc>
        <w:tc>
          <w:tcPr>
            <w:tcW w:type="dxa" w:w="2064"/>
          </w:tcPr>
          <w:p>
            <w:pPr>
              <w:spacing w:after="20"/>
            </w:pPr>
            <w:r/>
            <w:r>
              <w:rPr>
                <w:sz w:val="16"/>
              </w:rPr>
              <w:t xml:space="preserve">• Estudios de grabación de materiales didácticos: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Autoevaluaciones docentes: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Sistema de gestión de Juntas Escolares y Administrativas: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Asistencia técnica a Juntas Escolares y Administrativas: </w:t>
            </w:r>
            <w:r>
              <w:rPr>
                <w:b/>
                <w:color w:val="1F4E79"/>
                <w:sz w:val="16"/>
              </w:rPr>
              <w:t>En tiempo</w:t>
            </w:r>
          </w:p>
        </w:tc>
      </w:tr>
    </w:tbl>
    <w:p>
      <w:pPr>
        <w:pStyle w:val="Heading2"/>
      </w:pPr>
      <w:r>
        <w:t>Adquisiciones críticas a monitorear</w:t>
      </w:r>
    </w:p>
    <w:p>
      <w:r>
        <w:rPr>
          <w:i/>
          <w:sz w:val="18"/>
        </w:rPr>
        <w:t>No se registran adquisiciones críticas ("Sí") en la hoja productos_adquisiciones para este programa.</w:t>
      </w:r>
    </w:p>
    <w:p>
      <w:r>
        <w:br w:type="page"/>
      </w:r>
    </w:p>
    <w:p>
      <w:pPr>
        <w:pStyle w:val="Heading1"/>
      </w:pPr>
      <w:r>
        <w:t>Cuidados — CR-L1156 (6017/OC-CR)</w:t>
      </w:r>
    </w:p>
    <w:p>
      <w:pPr>
        <w:spacing w:after="160"/>
      </w:pPr>
      <w:r>
        <w:rPr>
          <w:i/>
          <w:sz w:val="21"/>
        </w:rPr>
        <w:t>Apoyo al fortalecimiento y expansión del sistema nacional de cuidados de Costa Rica</w:t>
      </w:r>
    </w:p>
    <w:p>
      <w:pPr>
        <w:pStyle w:val="Heading2"/>
      </w:pPr>
      <w:r>
        <w:t>Indicadores de resultado por objetivo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79"/>
        <w:gridCol w:w="2579"/>
        <w:gridCol w:w="2579"/>
        <w:gridCol w:w="2579"/>
      </w:tblGrid>
      <w:tr>
        <w:trPr>
          <w:tblHeader w:val="true"/>
        </w:trPr>
        <w:tc>
          <w:tcPr>
            <w:tcW w:type="dxa" w:w="3095"/>
            <w:shd w:fill="2F5496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715"/>
            <w:shd w:fill="2F5496"/>
          </w:tcPr>
          <w:p>
            <w:r/>
            <w:r>
              <w:rPr>
                <w:b/>
                <w:color w:val="FFFFFF"/>
                <w:sz w:val="18"/>
              </w:rPr>
              <w:t>Resumen de indicadores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Probabilidad de logro</w:t>
            </w:r>
          </w:p>
        </w:tc>
        <w:tc>
          <w:tcPr>
            <w:tcW w:type="dxa" w:w="2064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Productos críticos asociados</w:t>
            </w:r>
          </w:p>
        </w:tc>
      </w:tr>
      <w:tr>
        <w:tc>
          <w:tcPr>
            <w:tcW w:type="dxa" w:w="3095"/>
          </w:tcPr>
          <w:p>
            <w:r/>
            <w:r>
              <w:rPr>
                <w:b/>
                <w:sz w:val="17"/>
              </w:rPr>
              <w:t>1. Objetivo de Desarrollo / Impacto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4 indicadores de impacto (pobreza en adultos mayores, depresión en personas cuidadoras, cobertura y acceso a beneficios del SINCA). Línea base y metas aún por definir en la ficha técnica.</w:t>
            </w:r>
          </w:p>
        </w:tc>
        <w:tc>
          <w:tcPr>
            <w:tcW w:type="dxa" w:w="1445"/>
          </w:tcPr>
          <w:p>
            <w:r/>
            <w:r>
              <w:rPr>
                <w:b/>
                <w:color w:val="1E7A34"/>
                <w:sz w:val="17"/>
              </w:rPr>
              <w:t>Alta (4)</w:t>
            </w:r>
            <w:r/>
          </w:p>
        </w:tc>
        <w:tc>
          <w:tcPr>
            <w:tcW w:type="dxa" w:w="2064"/>
          </w:tcPr>
          <w:p>
            <w:pPr>
              <w:spacing w:after="20"/>
            </w:pPr>
            <w:r/>
            <w:r>
              <w:rPr>
                <w:sz w:val="16"/>
              </w:rPr>
              <w:t xml:space="preserve">• Modelo de fiscalización de calidad de servicios (OBS):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Modelo de focalización con línea de pobreza ajustada: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Plataforma CUIDAR.CR: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Registro Nacional de Personas Cuidadoras (QR):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Sistema de valoración funcional de la dependencia: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Ventanilla Única de Servicios (SINIRUBE): </w:t>
            </w:r>
            <w:r>
              <w:rPr>
                <w:b/>
                <w:color w:val="1F4E79"/>
                <w:sz w:val="16"/>
              </w:rPr>
              <w:t>En tiempo</w:t>
            </w:r>
          </w:p>
        </w:tc>
      </w:tr>
      <w:tr>
        <w:tc>
          <w:tcPr>
            <w:tcW w:type="dxa" w:w="3095"/>
          </w:tcPr>
          <w:p>
            <w:r/>
            <w:r>
              <w:rPr>
                <w:b/>
                <w:sz w:val="17"/>
              </w:rPr>
              <w:t>5. Fortalecer la institucionalidad del SINCA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4 indicadores de fortalecimiento institucional, con detalle pendiente de ficha técnica.</w:t>
            </w:r>
          </w:p>
        </w:tc>
        <w:tc>
          <w:tcPr>
            <w:tcW w:type="dxa" w:w="1445"/>
          </w:tcPr>
          <w:p>
            <w:r/>
            <w:r>
              <w:rPr>
                <w:b/>
                <w:color w:val="1E7A34"/>
                <w:sz w:val="17"/>
              </w:rPr>
              <w:t>Alta (4)</w:t>
            </w:r>
            <w:r/>
          </w:p>
        </w:tc>
        <w:tc>
          <w:tcPr>
            <w:tcW w:type="dxa" w:w="2064"/>
          </w:tcPr>
          <w:p>
            <w:pPr>
              <w:spacing w:after="20"/>
            </w:pPr>
            <w:r/>
            <w:r>
              <w:rPr>
                <w:sz w:val="16"/>
              </w:rPr>
              <w:t xml:space="preserve">• Modelo de focalización con línea de pobreza ajustada: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Sistema de valoración funcional de la dependencia: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Ventanilla Única de Servicios (SINIRUBE): </w:t>
            </w:r>
            <w:r>
              <w:rPr>
                <w:b/>
                <w:color w:val="1F4E79"/>
                <w:sz w:val="16"/>
              </w:rPr>
              <w:t>En tiempo</w:t>
            </w:r>
          </w:p>
        </w:tc>
      </w:tr>
      <w:tr>
        <w:tc>
          <w:tcPr>
            <w:tcW w:type="dxa" w:w="3095"/>
          </w:tcPr>
          <w:p>
            <w:r/>
            <w:r>
              <w:rPr>
                <w:b/>
                <w:sz w:val="17"/>
              </w:rPr>
              <w:t>6. Fortalecer la cobertura y calidad de los servicios de atención a la dependencia y a las personas cuidadoras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6 indicadores de cobertura y calidad, con detalle pendiente de ficha técnica.</w:t>
            </w:r>
          </w:p>
        </w:tc>
        <w:tc>
          <w:tcPr>
            <w:tcW w:type="dxa" w:w="1445"/>
          </w:tcPr>
          <w:p>
            <w:r/>
            <w:r>
              <w:rPr>
                <w:b/>
                <w:color w:val="1E7A34"/>
                <w:sz w:val="17"/>
              </w:rPr>
              <w:t>Alta (6)</w:t>
            </w:r>
            <w:r/>
          </w:p>
        </w:tc>
        <w:tc>
          <w:tcPr>
            <w:tcW w:type="dxa" w:w="2064"/>
          </w:tcPr>
          <w:p>
            <w:pPr>
              <w:spacing w:after="20"/>
            </w:pPr>
            <w:r/>
            <w:r>
              <w:rPr>
                <w:sz w:val="16"/>
              </w:rPr>
              <w:t xml:space="preserve">• Modelo de fiscalización de calidad de servicios (OBS):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Plataforma CUIDAR.CR: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Registro Nacional de Personas Cuidadoras (QR):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Sistema de valoración funcional de la dependencia: </w:t>
            </w:r>
            <w:r>
              <w:rPr>
                <w:b/>
                <w:color w:val="1F4E79"/>
                <w:sz w:val="16"/>
              </w:rPr>
              <w:t>En tiempo</w:t>
            </w:r>
          </w:p>
        </w:tc>
      </w:tr>
    </w:tbl>
    <w:p>
      <w:pPr>
        <w:pStyle w:val="Heading2"/>
      </w:pPr>
      <w:r>
        <w:t>Adquisiciones críticas a monitorear</w:t>
      </w:r>
    </w:p>
    <w:p>
      <w:r>
        <w:rPr>
          <w:i/>
          <w:sz w:val="18"/>
        </w:rPr>
        <w:t>No se registran adquisiciones críticas ("Sí") en la hoja productos_adquisiciones para este programa.</w:t>
      </w:r>
    </w:p>
    <w:p>
      <w:r>
        <w:br w:type="page"/>
      </w:r>
    </w:p>
    <w:p>
      <w:pPr>
        <w:pStyle w:val="Heading1"/>
      </w:pPr>
      <w:r>
        <w:t>Energía II — CR-L1157 (6061/OC-CR)</w:t>
      </w:r>
    </w:p>
    <w:p>
      <w:pPr>
        <w:spacing w:after="160"/>
      </w:pPr>
      <w:r>
        <w:rPr>
          <w:i/>
          <w:sz w:val="21"/>
        </w:rPr>
        <w:t>Segundo Programa de Energía Renovable, Transmisión y Distribución de Electricidad</w:t>
      </w:r>
    </w:p>
    <w:p>
      <w:pPr>
        <w:pStyle w:val="Heading2"/>
      </w:pPr>
      <w:r>
        <w:t>Indicadores de resultado por objetivo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79"/>
        <w:gridCol w:w="2579"/>
        <w:gridCol w:w="2579"/>
        <w:gridCol w:w="2579"/>
      </w:tblGrid>
      <w:tr>
        <w:trPr>
          <w:tblHeader w:val="true"/>
        </w:trPr>
        <w:tc>
          <w:tcPr>
            <w:tcW w:type="dxa" w:w="3095"/>
            <w:shd w:fill="2F5496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715"/>
            <w:shd w:fill="2F5496"/>
          </w:tcPr>
          <w:p>
            <w:r/>
            <w:r>
              <w:rPr>
                <w:b/>
                <w:color w:val="FFFFFF"/>
                <w:sz w:val="18"/>
              </w:rPr>
              <w:t>Resumen de indicadores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Probabilidad de logro</w:t>
            </w:r>
          </w:p>
        </w:tc>
        <w:tc>
          <w:tcPr>
            <w:tcW w:type="dxa" w:w="2064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Productos críticos asociados</w:t>
            </w:r>
          </w:p>
        </w:tc>
      </w:tr>
      <w:tr>
        <w:tc>
          <w:tcPr>
            <w:tcW w:type="dxa" w:w="3095"/>
          </w:tcPr>
          <w:p>
            <w:r/>
            <w:r>
              <w:rPr>
                <w:b/>
                <w:sz w:val="17"/>
              </w:rPr>
              <w:t>1. Restablecer la disponibilidad operativa y eficiencia de la planta hidroeléctrica Ventanas-Garita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3 indicadores: interrupciones forzadas y programadas [horas/año] y participación de mujeres en la modernización.</w:t>
            </w:r>
          </w:p>
        </w:tc>
        <w:tc>
          <w:tcPr>
            <w:tcW w:type="dxa" w:w="1445"/>
          </w:tcPr>
          <w:p>
            <w:r/>
            <w:r>
              <w:rPr>
                <w:b/>
                <w:color w:val="1E7A34"/>
                <w:sz w:val="17"/>
              </w:rPr>
              <w:t>Alta (3)</w:t>
            </w:r>
            <w:r/>
          </w:p>
        </w:tc>
        <w:tc>
          <w:tcPr>
            <w:tcW w:type="dxa" w:w="2064"/>
          </w:tcPr>
          <w:p>
            <w:pPr>
              <w:spacing w:after="20"/>
            </w:pPr>
            <w:r/>
            <w:r>
              <w:rPr>
                <w:sz w:val="16"/>
              </w:rPr>
              <w:t xml:space="preserve">• Casa de máquinas modernizada: </w:t>
            </w:r>
            <w:r>
              <w:rPr>
                <w:b/>
                <w:color w:val="1F4E79"/>
                <w:sz w:val="16"/>
              </w:rPr>
              <w:t>En tiempo</w:t>
            </w:r>
          </w:p>
          <w:p>
            <w:pPr>
              <w:spacing w:after="20"/>
            </w:pPr>
            <w:r>
              <w:rPr>
                <w:sz w:val="16"/>
              </w:rPr>
              <w:t xml:space="preserve">• Obras de captación de agua modernizadas: </w:t>
            </w:r>
            <w:r>
              <w:rPr>
                <w:b/>
                <w:color w:val="1F4E79"/>
                <w:sz w:val="16"/>
              </w:rPr>
              <w:t>En tiempo</w:t>
            </w:r>
          </w:p>
        </w:tc>
      </w:tr>
      <w:tr>
        <w:tc>
          <w:tcPr>
            <w:tcW w:type="dxa" w:w="3095"/>
          </w:tcPr>
          <w:p>
            <w:r/>
            <w:r>
              <w:rPr>
                <w:b/>
                <w:sz w:val="17"/>
              </w:rPr>
              <w:t>2. Mejorar la confiabilidad de la red de transmisión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2 indicadores: duración promedio y tasa de falla de transformadores de potencia.</w:t>
            </w:r>
          </w:p>
        </w:tc>
        <w:tc>
          <w:tcPr>
            <w:tcW w:type="dxa" w:w="1445"/>
          </w:tcPr>
          <w:p>
            <w:r/>
            <w:r>
              <w:rPr>
                <w:b/>
                <w:color w:val="B86B00"/>
                <w:sz w:val="17"/>
              </w:rPr>
              <w:t>Media (2)</w:t>
            </w:r>
            <w:r/>
          </w:p>
        </w:tc>
        <w:tc>
          <w:tcPr>
            <w:tcW w:type="dxa" w:w="2064"/>
          </w:tcPr>
          <w:p>
            <w:pPr>
              <w:spacing w:after="20"/>
            </w:pPr>
            <w:r/>
            <w:r>
              <w:rPr>
                <w:sz w:val="16"/>
              </w:rPr>
              <w:t xml:space="preserve">• Transformadores de potencia y reactores instalados: </w:t>
            </w:r>
            <w:r>
              <w:rPr>
                <w:b/>
                <w:color w:val="B86B00"/>
                <w:sz w:val="16"/>
              </w:rPr>
              <w:t>Pausado</w:t>
            </w:r>
          </w:p>
        </w:tc>
      </w:tr>
      <w:tr>
        <w:tc>
          <w:tcPr>
            <w:tcW w:type="dxa" w:w="3095"/>
          </w:tcPr>
          <w:p>
            <w:r/>
            <w:r>
              <w:rPr>
                <w:b/>
                <w:sz w:val="17"/>
              </w:rPr>
              <w:t>3. Incrementar la eficiencia del parque de alumbrado público (ICE)</w:t>
            </w:r>
          </w:p>
        </w:tc>
        <w:tc>
          <w:tcPr>
            <w:tcW w:type="dxa" w:w="3715"/>
          </w:tcPr>
          <w:p>
            <w:r/>
            <w:r>
              <w:rPr>
                <w:sz w:val="17"/>
              </w:rPr>
              <w:t>1 indicador: consumo eléctrico anual del sistema de alumbrado público.</w:t>
            </w:r>
          </w:p>
        </w:tc>
        <w:tc>
          <w:tcPr>
            <w:tcW w:type="dxa" w:w="1445"/>
          </w:tcPr>
          <w:p>
            <w:r/>
            <w:r>
              <w:rPr>
                <w:b/>
                <w:color w:val="1E7A34"/>
                <w:sz w:val="17"/>
              </w:rPr>
              <w:t>Alta (1)</w:t>
            </w:r>
            <w:r/>
          </w:p>
        </w:tc>
        <w:tc>
          <w:tcPr>
            <w:tcW w:type="dxa" w:w="2064"/>
          </w:tcPr>
          <w:p>
            <w:pPr>
              <w:spacing w:after="20"/>
            </w:pPr>
            <w:r/>
            <w:r>
              <w:rPr>
                <w:sz w:val="16"/>
              </w:rPr>
              <w:t xml:space="preserve">• Luminarias LED instaladas: </w:t>
            </w:r>
            <w:r>
              <w:rPr>
                <w:b/>
                <w:color w:val="1F4E79"/>
                <w:sz w:val="16"/>
              </w:rPr>
              <w:t>En tiempo</w:t>
            </w:r>
          </w:p>
        </w:tc>
      </w:tr>
    </w:tbl>
    <w:p>
      <w:pPr>
        <w:pStyle w:val="Heading2"/>
      </w:pPr>
      <w:r>
        <w:t>Adquisiciones críticas a monitorear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439"/>
        <w:gridCol w:w="3439"/>
        <w:gridCol w:w="3439"/>
      </w:tblGrid>
      <w:tr>
        <w:trPr>
          <w:tblHeader w:val="true"/>
        </w:trPr>
        <w:tc>
          <w:tcPr>
            <w:tcW w:type="dxa" w:w="4746"/>
            <w:shd w:fill="C0392B"/>
          </w:tcPr>
          <w:p>
            <w:r/>
            <w:r>
              <w:rPr>
                <w:b/>
                <w:color w:val="FFFFFF"/>
                <w:sz w:val="18"/>
              </w:rPr>
              <w:t>Adquisición crítica</w:t>
            </w:r>
          </w:p>
        </w:tc>
        <w:tc>
          <w:tcPr>
            <w:tcW w:type="dxa" w:w="1857"/>
            <w:shd w:fill="C0392B"/>
          </w:tcPr>
          <w:p>
            <w:r/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3715"/>
            <w:shd w:fill="C0392B"/>
          </w:tcPr>
          <w:p>
            <w:r/>
            <w:r>
              <w:rPr>
                <w:b/>
                <w:color w:val="FFFFFF"/>
                <w:sz w:val="18"/>
              </w:rPr>
              <w:t>Riesgo asociado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Adquisición de equipos electromecánicos de casa de máquinas modernización Ventanas Garita.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Proceso en Curso</w:t>
            </w:r>
          </w:p>
        </w:tc>
        <w:tc>
          <w:tcPr>
            <w:tcW w:type="dxa" w:w="3715"/>
          </w:tcPr>
          <w:p>
            <w:r/>
            <w:r>
              <w:rPr>
                <w:i/>
                <w:sz w:val="17"/>
              </w:rPr>
              <w:t>Sin riesgo reportado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Adquisición de: dos puentes grúa de doble viga en configuración tándem.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Previsto</w:t>
            </w:r>
          </w:p>
        </w:tc>
        <w:tc>
          <w:tcPr>
            <w:tcW w:type="dxa" w:w="3715"/>
          </w:tcPr>
          <w:p>
            <w:r/>
            <w:r>
              <w:rPr>
                <w:i/>
                <w:sz w:val="17"/>
              </w:rPr>
              <w:t>Sin riesgo reportado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Adquisición de transformadores elevadores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Previsto</w:t>
            </w:r>
          </w:p>
        </w:tc>
        <w:tc>
          <w:tcPr>
            <w:tcW w:type="dxa" w:w="3715"/>
          </w:tcPr>
          <w:p>
            <w:r/>
            <w:r>
              <w:rPr>
                <w:i/>
                <w:sz w:val="17"/>
              </w:rPr>
              <w:t>Sin riesgo reportado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Adquisición de Transformadores de potencia y Reactores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Previsto</w:t>
            </w:r>
          </w:p>
        </w:tc>
        <w:tc>
          <w:tcPr>
            <w:tcW w:type="dxa" w:w="3715"/>
          </w:tcPr>
          <w:p>
            <w:r/>
            <w:r>
              <w:rPr>
                <w:i/>
                <w:sz w:val="17"/>
              </w:rPr>
              <w:t>Sin riesgo reportado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Adquisición de luminarias LED y controles fotoeléctricos para alumbrado público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Previsto</w:t>
            </w:r>
          </w:p>
        </w:tc>
        <w:tc>
          <w:tcPr>
            <w:tcW w:type="dxa" w:w="3715"/>
          </w:tcPr>
          <w:p>
            <w:r/>
            <w:r>
              <w:rPr>
                <w:i/>
                <w:sz w:val="17"/>
              </w:rPr>
              <w:t>Sin riesgo reportado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Adquisición de equipos de compuertas, equipos de izaje y limpia rejas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Previsto</w:t>
            </w:r>
          </w:p>
        </w:tc>
        <w:tc>
          <w:tcPr>
            <w:tcW w:type="dxa" w:w="3715"/>
          </w:tcPr>
          <w:p>
            <w:r/>
            <w:r>
              <w:rPr>
                <w:i/>
                <w:sz w:val="17"/>
              </w:rPr>
              <w:t>Sin riesgo reportado</w:t>
            </w:r>
          </w:p>
        </w:tc>
      </w:tr>
      <w:tr>
        <w:tc>
          <w:tcPr>
            <w:tcW w:type="dxa" w:w="4746"/>
          </w:tcPr>
          <w:p>
            <w:r/>
            <w:r>
              <w:rPr>
                <w:sz w:val="17"/>
              </w:rPr>
              <w:t>Adquisición de draga para limpieza del embalse</w:t>
            </w:r>
          </w:p>
        </w:tc>
        <w:tc>
          <w:tcPr>
            <w:tcW w:type="dxa" w:w="1857"/>
          </w:tcPr>
          <w:p>
            <w:r/>
            <w:r>
              <w:rPr>
                <w:sz w:val="17"/>
              </w:rPr>
              <w:t>Previsto</w:t>
            </w:r>
          </w:p>
        </w:tc>
        <w:tc>
          <w:tcPr>
            <w:tcW w:type="dxa" w:w="3715"/>
          </w:tcPr>
          <w:p>
            <w:r/>
            <w:r>
              <w:rPr>
                <w:i/>
                <w:sz w:val="17"/>
              </w:rPr>
              <w:t>Sin riesgo reportado</w:t>
            </w:r>
          </w:p>
        </w:tc>
      </w:tr>
    </w:tbl>
    <w:p>
      <w:r>
        <w:br w:type="page"/>
      </w:r>
    </w:p>
    <w:p>
      <w:pPr>
        <w:pStyle w:val="Heading1"/>
      </w:pPr>
      <w:r>
        <w:t>Anexo — Detalle de datos por programa</w:t>
      </w:r>
    </w:p>
    <w:p>
      <w:r>
        <w:rPr>
          <w:sz w:val="18"/>
        </w:rPr>
        <w:t>Esta sección presenta el detalle completo de indicadores de resultado, productos críticos y adquisiciones críticas que sustenta los resúmenes del cuerpo del reporte.</w:t>
      </w:r>
    </w:p>
    <w:p>
      <w:r>
        <w:br w:type="page"/>
      </w:r>
    </w:p>
    <w:p>
      <w:pPr>
        <w:pStyle w:val="Heading2"/>
      </w:pPr>
      <w:r>
        <w:t>PIT — CR-L1032</w:t>
      </w:r>
    </w:p>
    <w:p>
      <w:r>
        <w:rPr>
          <w:b/>
          <w:sz w:val="19"/>
        </w:rPr>
        <w:t>Indicadores de resultado (detalle completo)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825"/>
            <w:shd w:fill="2F5496"/>
          </w:tcPr>
          <w:p>
            <w:r/>
            <w:r>
              <w:rPr>
                <w:b/>
                <w:color w:val="FFFFFF"/>
                <w:sz w:val="18"/>
              </w:rPr>
              <w:t>Obj.</w:t>
            </w:r>
          </w:p>
        </w:tc>
        <w:tc>
          <w:tcPr>
            <w:tcW w:type="dxa" w:w="4334"/>
            <w:shd w:fill="2F5496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Línea base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1032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type="dxa" w:w="1238"/>
            <w:shd w:fill="2F5496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 de operación de automóvil Limonal – Cañas [US$/veh-km]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0.238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0.238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 de operación de camioneta Limonal – Cañas [US$/veh-km]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0.314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0.305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1.2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 de operación de autobús Limonal – Cañas [US$/veh-km]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0.82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0.688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1.3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 de operación de camión C2 Limonal – Cañas [US$/veh-km]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0.704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0.614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1.4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 de operación de camión C3 Limonal – Cañas [US$/veh-km]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1.004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0.947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1.5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 de operación de camión articulado Limonal – Cañas [US$/veh-km]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1.513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1.322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1.6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 de operación de automóvil Playa Naranjo - Paquera [US$/veh-km]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0.358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0.249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1.7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 de operación de camioneta Playa Naranjo - Paquera [US$/veh-km]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0.541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0.339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1.8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 de operación de autobús Playa Naranjo - Paquera [US$/veh-km]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1.558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1.021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1.9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 de operación de camión C2 Playa Naranjo - Paquera [US$/veh-km]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1.238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0.873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1.10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 de operación de camión C3 Playa Naranjo - Paquera [US$/veh-km]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1.835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1.184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1.11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 de operación de camión articulado Playa Naranjo - Paquera [US$/veh-km]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2.726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1.394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1.12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 de operación de automóvil Barranca - Limonal [US$/veh-km]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0.24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0.24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1.13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 de operación de camioneta Barranca - Limonal [US$/veh-km]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0.31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0.31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1.14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 de operación de autobús Barranca - Limonal [US$/veh-km]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0.84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0.71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1.15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 de operación de camión C2 Barranca - Limonal [US$/veh-km]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0.73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0.64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1.16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 de operación de camión C3 Barranca - Limonal [US$/veh-km]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1.02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0.98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1.17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 de operación de camión articulado Barranca - Limonal [US$/veh-km]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1.52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1.36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1.18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medio de viaje de automóvil Limonal – Cañas [min]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63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47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medio de viaje de camioneta Limonal – Cañas [min]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56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48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2.2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medio de viaje de autobús Limonal – Cañas [min]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84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54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2.3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medio de viaje de camión C2 Limonal – Cañas [min]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77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56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2.4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medio de viaje de camión C3 Limonal – Cañas [min]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84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47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2.5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medio de viaje de camión articulado Limonal – Cañas [min]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75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55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2.6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medio de viaje de automóvil Playa Naranjo - Paquera [min]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33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21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2.7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medio de viaje de camioneta Playa Naranjo - Paquera [min]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32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22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2.8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medio de viaje de autobús Playa Naranjo - Paquera [min]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43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29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2.9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medio de viaje de camión C2 Playa Naranjo - Paquera [min]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41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30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2.10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medio de viaje de camión C3 Playa Naranjo - Paquera [min]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42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26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2.11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medio de viaje de camión articulado Playa Naranjo - Paquera [min]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17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2.12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medio de viaje de automóvil Barranca - Limonal [min]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45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32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2.13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medio de viaje de camioneta Barranca - Limonal [min]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39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32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2.14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medio de viaje de autobús Barranca - Limonal [min]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61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38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2.15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medio de viaje de camión C2 Barranca - Limonal [min]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55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39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2.16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medio de viaje de camión C3 Barranca - Limonal [min]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61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32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2.17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medio de viaje de camión articulado Barranca - Limonal [min]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54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39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2.18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Nivel de seguridad de la vía del tramo Barranca Limonal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3.1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Nivel de seguridad de la vía del tramo Limonal - Cañas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3.2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Nivel de seguridad de la vía del tramo Playa Naranjo - Paquera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3.3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Probabilidad de ocurrencia de una falla grave en el rompeolas del Puerto de Caldera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42.2%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1.4%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3.4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Porcentaje de tiempo de operatividad de las terminales de transbordadores del Golfo de Nicoya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100%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100%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3.5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Aumento de satisfacción de usuarios de las terminales de Transbordadores (Hombres)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63.8%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78.8%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3.6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Aumento de satisfacción de usuarios de las terminales de Transbordadores (Mujeres)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61.6%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76.6%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3.7</w:t>
            </w:r>
          </w:p>
        </w:tc>
      </w:tr>
    </w:tbl>
    <w:p/>
    <w:p>
      <w:r>
        <w:rPr>
          <w:b/>
          <w:sz w:val="19"/>
        </w:rPr>
        <w:t>Productos críticos (estado y comentarios)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439"/>
        <w:gridCol w:w="3439"/>
        <w:gridCol w:w="3439"/>
      </w:tblGrid>
      <w:tr>
        <w:trPr>
          <w:tblHeader w:val="true"/>
        </w:trPr>
        <w:tc>
          <w:tcPr>
            <w:tcW w:type="dxa" w:w="5675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Producto crítico</w:t>
            </w:r>
          </w:p>
        </w:tc>
        <w:tc>
          <w:tcPr>
            <w:tcW w:type="dxa" w:w="1548"/>
            <w:shd w:fill="2F5496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095"/>
            <w:shd w:fill="2F5496"/>
          </w:tcPr>
          <w:p>
            <w:r/>
            <w:r>
              <w:rPr>
                <w:b/>
                <w:color w:val="FFFFFF"/>
                <w:sz w:val="18"/>
              </w:rPr>
              <w:t>Adquisición crítica / Riesgos y comentarios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Rompeolas de Caldera rehabilitado y ampliado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E7A34"/>
                <w:sz w:val="15"/>
              </w:rPr>
              <w:t>Logrado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Evaluación de resultados pendiente para confirmar cumplimiento de indicadores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Terminales de transbordadores rehabilitadas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E7A34"/>
                <w:sz w:val="15"/>
              </w:rPr>
              <w:t>Logrado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Evaluación de resultados pendiente para confirmar cumplimiento de indicadores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Tramo Barranca-Limonal rehabilitado y ampliado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B02A2A"/>
                <w:sz w:val="15"/>
              </w:rPr>
              <w:t>Retrasado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Rehabilitación y ampliación a cuatro carriles de la Ruta Nacional No. 1, Sección Barranca – Limonal (SICOP 2025LY-00001-0003000001) / La unidad ejecutora no tiene responsabilidad directa sobre el proceso al estar a cargo de CONAVI con contrapartida</w:t>
              <w:br/>
              <w:br/>
              <w:t>El plazo de ejecución de las obras supera el plazo actual del programa PIT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Tramo Limonal - Cañas rehabilitado y ampliado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E7A34"/>
                <w:sz w:val="15"/>
              </w:rPr>
              <w:t>Logrado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Construcción de la Ampliación y Rehabilitación del Tramo de Carretera Limonal-Cañas / Evaluación de resultados pendiente para confirmar cumplimiento de indicadores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Tramo Playa Naranjo - Paquera rehabilitado y ampliado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E7A34"/>
                <w:sz w:val="15"/>
              </w:rPr>
              <w:t>Logrado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Construcción de la Ampliación y Rehabilitación del Tramo de Carretera Playa Naranjo – Paquera RN 160 / Evaluación de resultados pendiente para confirmar cumplimiento de indicadores</w:t>
            </w:r>
          </w:p>
        </w:tc>
      </w:tr>
    </w:tbl>
    <w:p/>
    <w:p>
      <w:r>
        <w:rPr>
          <w:b/>
          <w:sz w:val="19"/>
        </w:rPr>
        <w:t>Adquisiciones críticas — detalle de proceso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79"/>
        <w:gridCol w:w="2579"/>
        <w:gridCol w:w="2579"/>
        <w:gridCol w:w="2579"/>
      </w:tblGrid>
      <w:tr>
        <w:trPr>
          <w:tblHeader w:val="true"/>
        </w:trPr>
        <w:tc>
          <w:tcPr>
            <w:tcW w:type="dxa" w:w="1445"/>
            <w:shd w:fill="C0392B"/>
          </w:tcPr>
          <w:p>
            <w:r/>
            <w:r>
              <w:rPr>
                <w:b/>
                <w:color w:val="FFFFFF"/>
                <w:sz w:val="18"/>
              </w:rPr>
              <w:t>ID de proceso</w:t>
            </w:r>
          </w:p>
        </w:tc>
        <w:tc>
          <w:tcPr>
            <w:tcW w:type="dxa" w:w="3715"/>
            <w:shd w:fill="C0392B"/>
          </w:tcPr>
          <w:p>
            <w:r/>
            <w:r>
              <w:rPr>
                <w:b/>
                <w:color w:val="FFFFFF"/>
                <w:sz w:val="18"/>
              </w:rPr>
              <w:t>Nombre del proceso</w:t>
            </w:r>
          </w:p>
        </w:tc>
        <w:tc>
          <w:tcPr>
            <w:tcW w:type="dxa" w:w="1651"/>
            <w:shd w:fill="C0392B"/>
          </w:tcPr>
          <w:p>
            <w:r/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3508"/>
            <w:shd w:fill="C0392B"/>
          </w:tcPr>
          <w:p>
            <w:r/>
            <w:r>
              <w:rPr>
                <w:b/>
                <w:color w:val="FFFFFF"/>
                <w:sz w:val="18"/>
              </w:rPr>
              <w:t>Estado del proceso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CR-L1032-P00089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Contratación de obras menores en el tramo Limonal-Cañas de la ruta nacional No. 1.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Obras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Contrato en ejecución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CR-L1032-P00080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Contratación de Obras Complementarias Ruta Nacional 160 Playa Naranjo a Paquera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Obras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Contrato en ejecución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CR-L1032-P00082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 xml:space="preserve">Contratación de Obras para mejorar la Sección Barranca-Limonal y la Ruta Nacional No. 17, Sección La Angostura 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Obras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Contrato en ejecución</w:t>
            </w:r>
          </w:p>
        </w:tc>
      </w:tr>
    </w:tbl>
    <w:p>
      <w:r>
        <w:br w:type="page"/>
      </w:r>
    </w:p>
    <w:p>
      <w:pPr>
        <w:pStyle w:val="Heading2"/>
      </w:pPr>
      <w:r>
        <w:t>Cantonal II — CR-L1065</w:t>
      </w:r>
    </w:p>
    <w:p>
      <w:r>
        <w:rPr>
          <w:b/>
          <w:sz w:val="19"/>
        </w:rPr>
        <w:t>Indicadores de resultado (detalle completo)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825"/>
            <w:shd w:fill="2F5496"/>
          </w:tcPr>
          <w:p>
            <w:r/>
            <w:r>
              <w:rPr>
                <w:b/>
                <w:color w:val="FFFFFF"/>
                <w:sz w:val="18"/>
              </w:rPr>
              <w:t>Obj.</w:t>
            </w:r>
          </w:p>
        </w:tc>
        <w:tc>
          <w:tcPr>
            <w:tcW w:type="dxa" w:w="4334"/>
            <w:shd w:fill="2F5496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Línea base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1032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type="dxa" w:w="1238"/>
            <w:shd w:fill="2F5496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Densidad de vías cantonales en buen estado [km de vías en buen estado / 1000 km2 de superficie]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53.7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65.6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Costos de operación vehicular en tramos que pasan de Lastre o Tierra a Tratamiento Bituminoso Simple (TBS) [USD/km-veh]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0.52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0.37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Costos de viaje en tramos que pasan de Lastre o Tierra a Tratamiento Bituminoso Simple (TBS) [USD/km-veh]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0.31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0.21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3.1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Caminos con paso interrumpido temporal o permanentemente debido a vulnerabilidad por eventos climáticos [porcentaje]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62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14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4.1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Porcentaje de Municipios que realizan su gestión vial con base en los Planes de conservación, desarrollo y seguridad vial (PCDSV) elaborados [porcentaje]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49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100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5.1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Porcentaje de mujeres socias en microempresas de mantenimiento vial existentes en el país [porcentaje]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20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6.1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Densidad de vías cantonales en buen estado (km de vías cantonales en buen estado / 1000 km2 de superficie)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53.7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65.6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1.1</w:t>
            </w:r>
          </w:p>
        </w:tc>
      </w:tr>
    </w:tbl>
    <w:p/>
    <w:p>
      <w:r>
        <w:rPr>
          <w:b/>
          <w:sz w:val="19"/>
        </w:rPr>
        <w:t>Productos críticos (estado y comentarios)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439"/>
        <w:gridCol w:w="3439"/>
        <w:gridCol w:w="3439"/>
      </w:tblGrid>
      <w:tr>
        <w:trPr>
          <w:tblHeader w:val="true"/>
        </w:trPr>
        <w:tc>
          <w:tcPr>
            <w:tcW w:type="dxa" w:w="5675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Producto crítico</w:t>
            </w:r>
          </w:p>
        </w:tc>
        <w:tc>
          <w:tcPr>
            <w:tcW w:type="dxa" w:w="1548"/>
            <w:shd w:fill="2F5496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095"/>
            <w:shd w:fill="2F5496"/>
          </w:tcPr>
          <w:p>
            <w:r/>
            <w:r>
              <w:rPr>
                <w:b/>
                <w:color w:val="FFFFFF"/>
                <w:sz w:val="18"/>
              </w:rPr>
              <w:t>Adquisición crítica / Riesgos y comentarios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Caminos cantonales rehabilitados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E7A34"/>
                <w:sz w:val="15"/>
              </w:rPr>
              <w:t>Logrado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Rehabilitación de caminos (paquetes) / Evaluación Ex Post de resultados pendiente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Cantones con intervención de seguridad vial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E7A34"/>
                <w:sz w:val="15"/>
              </w:rPr>
              <w:t>Logrado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Mantenimiento rutinario por estándares realizado a través de microempresas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E7A34"/>
                <w:sz w:val="15"/>
              </w:rPr>
              <w:t>Logrado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Manuales de seguridad vial y gestión socioambiental elaborados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E7A34"/>
                <w:sz w:val="15"/>
              </w:rPr>
              <w:t>Logrado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Número de cantones con Planes Viales Quinquenales de conservación y desarrollo elaborados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E7A34"/>
                <w:sz w:val="15"/>
              </w:rPr>
              <w:t>Logrado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Número de funcionarios municipales capacitados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E7A34"/>
                <w:sz w:val="15"/>
              </w:rPr>
              <w:t>Logrado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Consultor individual que realice el PCR de operación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Puentes construidos o rehabilitados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E7A34"/>
                <w:sz w:val="15"/>
              </w:rPr>
              <w:t>Logrado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Construcción de puentes (paquetes), rehabilitados (Incluye diseño adaptados a cambio climático). / Evaluación Ex Post de resultados pendiente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Sistema de Gestión de activos viales implementado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E7A34"/>
                <w:sz w:val="15"/>
              </w:rPr>
              <w:t>Logrado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PIV-APP — CR-L1139</w:t>
      </w:r>
    </w:p>
    <w:p>
      <w:r>
        <w:rPr>
          <w:b/>
          <w:sz w:val="19"/>
        </w:rPr>
        <w:t>Indicadores de resultado (detalle completo)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825"/>
            <w:shd w:fill="2F5496"/>
          </w:tcPr>
          <w:p>
            <w:r/>
            <w:r>
              <w:rPr>
                <w:b/>
                <w:color w:val="FFFFFF"/>
                <w:sz w:val="18"/>
              </w:rPr>
              <w:t>Obj.</w:t>
            </w:r>
          </w:p>
        </w:tc>
        <w:tc>
          <w:tcPr>
            <w:tcW w:type="dxa" w:w="4334"/>
            <w:shd w:fill="2F5496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Línea base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1032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type="dxa" w:w="1238"/>
            <w:shd w:fill="2F5496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Costos de operación vehicular ponderado en los sitios de las OBIS en el tramo San José – San Ramón [US$ millones]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39.07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34.76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Costos de operación vehicular ponderado del transporte en el tramo Taras – La Lima [US$ millones]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24.05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11.93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1.2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de viaje promedio de los vehículos que circulan por el tramo San José - San Ramón en la hora de mayor congestión [minutos]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75.6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56.1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de viaje promedio de los vehículos que circulan por el tramo Taras – La Lima en la hora de mayor congestión [minutos]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10.8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4.9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2.2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Sumario de toneladas retenidas (ahorro) de emisiones de CO2 generadas por los vehículos que circulan en el tramo San José – San Ramón [toneladas]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11449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3.1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Sumario de toneladas retenidas (ahorro) de emisiones de CO2 generadas por los vehículos que circulan en el tramo Taras – La Lima [toneladas]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3820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3.2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Estudios de Estructuración integral en al menos 2 proyectos realizados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4.1</w:t>
            </w:r>
          </w:p>
        </w:tc>
      </w:tr>
    </w:tbl>
    <w:p/>
    <w:p>
      <w:r>
        <w:rPr>
          <w:b/>
          <w:sz w:val="19"/>
        </w:rPr>
        <w:t>Productos críticos (estado y comentarios)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439"/>
        <w:gridCol w:w="3439"/>
        <w:gridCol w:w="3439"/>
      </w:tblGrid>
      <w:tr>
        <w:trPr>
          <w:tblHeader w:val="true"/>
        </w:trPr>
        <w:tc>
          <w:tcPr>
            <w:tcW w:type="dxa" w:w="5675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Producto crítico</w:t>
            </w:r>
          </w:p>
        </w:tc>
        <w:tc>
          <w:tcPr>
            <w:tcW w:type="dxa" w:w="1548"/>
            <w:shd w:fill="2F5496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095"/>
            <w:shd w:fill="2F5496"/>
          </w:tcPr>
          <w:p>
            <w:r/>
            <w:r>
              <w:rPr>
                <w:b/>
                <w:color w:val="FFFFFF"/>
                <w:sz w:val="18"/>
              </w:rPr>
              <w:t>Adquisición crítica / Riesgos y comentarios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Estudios de Estructuración integral en al menos dos proyectos APP realizados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B02A2A"/>
                <w:sz w:val="15"/>
              </w:rPr>
              <w:t>Retrasado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Estructuración APP #2 / Proyecto #2 aún no definido por el OE.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Intercambios Taras – La Lima construidos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B02A2A"/>
                <w:sz w:val="15"/>
              </w:rPr>
              <w:t>Retrasado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Lote #4 OBIS corredor San Ramón–San José: Intercambio de Coyol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B02A2A"/>
                <w:sz w:val="15"/>
              </w:rPr>
              <w:t>Retrasado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D+C Intercambio de Coyol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Lote #4 OBIS corredor San Ramón–San José: Intercambio de Grecia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Lote #4 OBIS corredor San Ramón–San José: Intercambio de Naranjo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B02A2A"/>
                <w:sz w:val="15"/>
              </w:rPr>
              <w:t>Retrasado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D+C Intercambio de Naranjo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Lote #4 OBIS corredor San Ramón–San José: Intercambio de San Ramón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</w:tbl>
    <w:p/>
    <w:p>
      <w:r>
        <w:rPr>
          <w:b/>
          <w:sz w:val="19"/>
        </w:rPr>
        <w:t>Adquisiciones críticas — detalle de proceso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79"/>
        <w:gridCol w:w="2579"/>
        <w:gridCol w:w="2579"/>
        <w:gridCol w:w="2579"/>
      </w:tblGrid>
      <w:tr>
        <w:trPr>
          <w:tblHeader w:val="true"/>
        </w:trPr>
        <w:tc>
          <w:tcPr>
            <w:tcW w:type="dxa" w:w="1445"/>
            <w:shd w:fill="C0392B"/>
          </w:tcPr>
          <w:p>
            <w:r/>
            <w:r>
              <w:rPr>
                <w:b/>
                <w:color w:val="FFFFFF"/>
                <w:sz w:val="18"/>
              </w:rPr>
              <w:t>ID de proceso</w:t>
            </w:r>
          </w:p>
        </w:tc>
        <w:tc>
          <w:tcPr>
            <w:tcW w:type="dxa" w:w="3715"/>
            <w:shd w:fill="C0392B"/>
          </w:tcPr>
          <w:p>
            <w:r/>
            <w:r>
              <w:rPr>
                <w:b/>
                <w:color w:val="FFFFFF"/>
                <w:sz w:val="18"/>
              </w:rPr>
              <w:t>Nombre del proceso</w:t>
            </w:r>
          </w:p>
        </w:tc>
        <w:tc>
          <w:tcPr>
            <w:tcW w:type="dxa" w:w="1651"/>
            <w:shd w:fill="C0392B"/>
          </w:tcPr>
          <w:p>
            <w:r/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3508"/>
            <w:shd w:fill="C0392B"/>
          </w:tcPr>
          <w:p>
            <w:r/>
            <w:r>
              <w:rPr>
                <w:b/>
                <w:color w:val="FFFFFF"/>
                <w:sz w:val="18"/>
              </w:rPr>
              <w:t>Estado del proceso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CR-L1139-P00045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Diseño y Construcción de las obras en la Ruta Nacional No. 1, Sección San José - San Ramón correspondientes al Intercambio Grecia, Naranjo y San Ramón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Obras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Contrato en ejecución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CR-L1139-P00051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Contratación del Diseño y Construcción con la ejecución completa y detallada de las obras en la Ruta Nacional No. 1, San José a San Ramón, correspondientes a: Lote No. 1 Intercambio de Coyol.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Obras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Contrato en ejecución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CR-L1139-P00024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Firma consultora para realizar estudio de factibilidad y estructuración para la implementación del modelo de optimización de activos en la ruta interamericana norte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Firmas Consultoras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Contrato en ejecución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CR-L1139-P00001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Construcción de los intercambios y el mejoramiento de la Ruta Nacional No. 2, Sección Taras - La Lima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Obras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Contrato en ejecución</w:t>
            </w:r>
          </w:p>
        </w:tc>
      </w:tr>
    </w:tbl>
    <w:p>
      <w:r>
        <w:br w:type="page"/>
      </w:r>
    </w:p>
    <w:p>
      <w:pPr>
        <w:pStyle w:val="Heading2"/>
      </w:pPr>
      <w:r>
        <w:t>San Carlos — CR-L1151</w:t>
      </w:r>
    </w:p>
    <w:p>
      <w:r>
        <w:rPr>
          <w:b/>
          <w:sz w:val="19"/>
        </w:rPr>
        <w:t>Indicadores de resultado (detalle completo)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825"/>
            <w:shd w:fill="2F5496"/>
          </w:tcPr>
          <w:p>
            <w:r/>
            <w:r>
              <w:rPr>
                <w:b/>
                <w:color w:val="FFFFFF"/>
                <w:sz w:val="18"/>
              </w:rPr>
              <w:t>Obj.</w:t>
            </w:r>
          </w:p>
        </w:tc>
        <w:tc>
          <w:tcPr>
            <w:tcW w:type="dxa" w:w="4334"/>
            <w:shd w:fill="2F5496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Línea base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1032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type="dxa" w:w="1238"/>
            <w:shd w:fill="2F5496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de recorrido de vehículos en el tramo Florencia – RN-1 [minutos]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102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36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de recorrido de vehículos pesados y autobús en el tramo Florencia – RN-1 [minutos]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126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45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1.2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 de operación de vehículos (liviano) en el tramo Florencia – RN-1 [US$]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27.17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22.66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1.3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 de operación de transporte público en el tramo Florencia – RN-1 [US$]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63.6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53.05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1.4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Costo de operación de transporte de carga en el tramo Florencia – RN-1 [US$]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66.07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56.11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1.5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Nivel de seguridad vial de la RN-35 (metodología iRAP) [estrellas]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1.6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Aumento de participación femenina en obras [porcentaje]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1.7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Sitios de la vía en el tramo Abundancia–Sifón afectados por inundaciones (período de retorno 100 años) [unidad]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30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1.8</w:t>
            </w:r>
          </w:p>
        </w:tc>
      </w:tr>
    </w:tbl>
    <w:p/>
    <w:p>
      <w:r>
        <w:rPr>
          <w:b/>
          <w:sz w:val="19"/>
        </w:rPr>
        <w:t>Productos críticos (estado y comentarios)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439"/>
        <w:gridCol w:w="3439"/>
        <w:gridCol w:w="3439"/>
      </w:tblGrid>
      <w:tr>
        <w:trPr>
          <w:tblHeader w:val="true"/>
        </w:trPr>
        <w:tc>
          <w:tcPr>
            <w:tcW w:type="dxa" w:w="5675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Producto crítico</w:t>
            </w:r>
          </w:p>
        </w:tc>
        <w:tc>
          <w:tcPr>
            <w:tcW w:type="dxa" w:w="1548"/>
            <w:shd w:fill="2F5496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095"/>
            <w:shd w:fill="2F5496"/>
          </w:tcPr>
          <w:p>
            <w:r/>
            <w:r>
              <w:rPr>
                <w:b/>
                <w:color w:val="FFFFFF"/>
                <w:sz w:val="18"/>
              </w:rPr>
              <w:t>Adquisición crítica / Riesgos y comentarios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Guía de indicadores mínimos para el monitoreo de la gestión de operación y mantenimiento del corredor RN-35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Obras complementarias en el Tramo Central Sección Sucre – Abundancia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B86B00"/>
                <w:sz w:val="15"/>
              </w:rPr>
              <w:t>Pausado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Contratación para el diseño y construcción del Tramo Central de la Ruta Nacional no. 35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Obras complementarias en la Punta Norte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E7A34"/>
                <w:sz w:val="15"/>
              </w:rPr>
              <w:t>Logrado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Contratación de para el diseño y construcción de los sistemas de iluminación vial para la Punta Norte de la RN No. 35 (Sección ciudad Quesada / Florencia)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Plan de comunicación para promoción de prácticas seguras de conducción en el corredor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Plan de mejora de las capacidades de gestión de riesgo de desastres y CC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Programa de capacitación a funcionarios públicos para el diseño de pliegos con enfoque de género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Punta Sur de la RN-35 diseñado y construido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Contratación para el diseño y construcción de la Punta Sur de la Ruta Nacional no. 35  / Lote 1 firmado</w:t>
              <w:br/>
              <w:t>Lote 2 firmado.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Tramo Central Sifón – Sucre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B86B00"/>
                <w:sz w:val="15"/>
              </w:rPr>
              <w:t>Pausado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Contratación para el diseño y construcción del Tramo Central de la Ruta Nacional no. 35 / En análisis por FMP y TSP junto con el OE sobre siguiente estado del proceso: declaración de infructuoso, cancelación, o nueva fuente de financiamiento.</w:t>
            </w:r>
          </w:p>
        </w:tc>
      </w:tr>
    </w:tbl>
    <w:p/>
    <w:p>
      <w:r>
        <w:rPr>
          <w:b/>
          <w:sz w:val="19"/>
        </w:rPr>
        <w:t>Adquisiciones críticas — detalle de proceso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79"/>
        <w:gridCol w:w="2579"/>
        <w:gridCol w:w="2579"/>
        <w:gridCol w:w="2579"/>
      </w:tblGrid>
      <w:tr>
        <w:trPr>
          <w:tblHeader w:val="true"/>
        </w:trPr>
        <w:tc>
          <w:tcPr>
            <w:tcW w:type="dxa" w:w="1445"/>
            <w:shd w:fill="C0392B"/>
          </w:tcPr>
          <w:p>
            <w:r/>
            <w:r>
              <w:rPr>
                <w:b/>
                <w:color w:val="FFFFFF"/>
                <w:sz w:val="18"/>
              </w:rPr>
              <w:t>ID de proceso</w:t>
            </w:r>
          </w:p>
        </w:tc>
        <w:tc>
          <w:tcPr>
            <w:tcW w:type="dxa" w:w="3715"/>
            <w:shd w:fill="C0392B"/>
          </w:tcPr>
          <w:p>
            <w:r/>
            <w:r>
              <w:rPr>
                <w:b/>
                <w:color w:val="FFFFFF"/>
                <w:sz w:val="18"/>
              </w:rPr>
              <w:t>Nombre del proceso</w:t>
            </w:r>
          </w:p>
        </w:tc>
        <w:tc>
          <w:tcPr>
            <w:tcW w:type="dxa" w:w="1651"/>
            <w:shd w:fill="C0392B"/>
          </w:tcPr>
          <w:p>
            <w:r/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3508"/>
            <w:shd w:fill="C0392B"/>
          </w:tcPr>
          <w:p>
            <w:r/>
            <w:r>
              <w:rPr>
                <w:b/>
                <w:color w:val="FFFFFF"/>
                <w:sz w:val="18"/>
              </w:rPr>
              <w:t>Estado del proceso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CR-L1151-P00004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Contratación para el diseño y construcción del Tramo Central de la Ruta Nacional No. 35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Obras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Evaluación Técnica de Ofertas/Propuestas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CR-L1151-P00003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Contratación del diseño integral, construcción y mantenimiento por niveles de servicio de las obras de la Ruta Nacional No. 35, Punta Sur.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Obras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Contrato en ejecución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CR-L1151-P00001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Contratación para el diseño y construcción de los sistemas de iluminación vial  para la Punta Norte de la RN 35 (Sección Ciudad Quesada / Florencia)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Obras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Contrato en ejecución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CR-L1151-P00002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Contratación para el diseño y construcción de obras menores conexas de seguridad vial y pasos de fauna para la Punta Norte de la RN 35 (Sección Ciudad Quesada / Florencia)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Obras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Previsto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CR-L1151-P00007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Contratación de firma consultora para desarrollar una guía de indicadores mínimos para el monitoreo de la gestión de operación y mantenimiento del corredor RN35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Firmas Consultoras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Previsto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CR-L1151-P00008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Consultoría de firma consultora  desarrollar  un plan de comunicación para promoción de prácticas seguras de conducción en el corredor vial RN35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Firmas Consultoras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Previsto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CR-L1151-P00006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Contratación de firma consultora para desarrollar e implementar  un plan de mejora de las capacidades de gestión de riesgo de desastres y cambio climático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Firmas Consultoras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Previsto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CR-L1151-P00009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Contratación de firma consultora para elaborar un programa de capacitación a Funcionarios Públicos para el diseño de pliegos con enfoque de Género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Firmas Consultoras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Previsto</w:t>
            </w:r>
          </w:p>
        </w:tc>
      </w:tr>
    </w:tbl>
    <w:p>
      <w:r>
        <w:br w:type="page"/>
      </w:r>
    </w:p>
    <w:p>
      <w:pPr>
        <w:pStyle w:val="Heading2"/>
      </w:pPr>
      <w:r>
        <w:t>Seguridad Ciudadana — CR-L1137</w:t>
      </w:r>
    </w:p>
    <w:p>
      <w:r>
        <w:rPr>
          <w:b/>
          <w:sz w:val="19"/>
        </w:rPr>
        <w:t>Indicadores de resultado (detalle completo)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825"/>
            <w:shd w:fill="2F5496"/>
          </w:tcPr>
          <w:p>
            <w:r/>
            <w:r>
              <w:rPr>
                <w:b/>
                <w:color w:val="FFFFFF"/>
                <w:sz w:val="18"/>
              </w:rPr>
              <w:t>Obj.</w:t>
            </w:r>
          </w:p>
        </w:tc>
        <w:tc>
          <w:tcPr>
            <w:tcW w:type="dxa" w:w="4334"/>
            <w:shd w:fill="2F5496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Línea base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1032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type="dxa" w:w="1238"/>
            <w:shd w:fill="2F5496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Homicidios en distritos priorizados [tasa]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19.25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17.33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Asaltos en distritos priorizados [tasa]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823.74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741.37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1.2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Exclusión escolar (fuera del sistema educativo) de jóvenes entre 12 y 17 años que participan en los CCP [porcentaje]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7.2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3.5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Proporción de aprehensiones de jóvenes menores de edad en los distritos de influencia de los CCP con respecto al total país [porcentaje]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8.27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4.55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2.2</w:t>
            </w:r>
          </w:p>
        </w:tc>
      </w:tr>
    </w:tbl>
    <w:p/>
    <w:p>
      <w:r>
        <w:rPr>
          <w:b/>
          <w:sz w:val="19"/>
        </w:rPr>
        <w:t>Productos críticos (estado y comentarios)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439"/>
        <w:gridCol w:w="3439"/>
        <w:gridCol w:w="3439"/>
      </w:tblGrid>
      <w:tr>
        <w:trPr>
          <w:tblHeader w:val="true"/>
        </w:trPr>
        <w:tc>
          <w:tcPr>
            <w:tcW w:type="dxa" w:w="5675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Producto crítico</w:t>
            </w:r>
          </w:p>
        </w:tc>
        <w:tc>
          <w:tcPr>
            <w:tcW w:type="dxa" w:w="1548"/>
            <w:shd w:fill="2F5496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095"/>
            <w:shd w:fill="2F5496"/>
          </w:tcPr>
          <w:p>
            <w:r/>
            <w:r>
              <w:rPr>
                <w:b/>
                <w:color w:val="FFFFFF"/>
                <w:sz w:val="18"/>
              </w:rPr>
              <w:t>Adquisición crítica / Riesgos y comentarios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Centro de Mando y Control Policial construido, equipado y en funcionamiento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 xml:space="preserve">D+C obra y adenda para suministro de equipo / Adenda para incorporar equipo tecnológico tiene un plazo de ejecución cercano a la finalización del programa. 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Centros Cívicos diseñados, construidos, equipados y operando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B02A2A"/>
                <w:sz w:val="15"/>
              </w:rPr>
              <w:t>Retrasado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CCP Perez Zeledón, San José y Goicoechea / Procesos estimados para finalizar en 2027 cerca del fin del plazo de desembolsos. Avance físico limitado con riesgo de finalizar con retraso.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Delegaciones diseñadas, construidas, equipadas y operando bajo enfoque de policía comunitaria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DP Limón y El Roble / Procesos estimados para finalizar en 2027 cerca del fin del plazo de desembolsos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Departamentos de la FP capacitados en análisis criminal y monitoreo de dinámicas delictivas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E7A34"/>
                <w:sz w:val="15"/>
              </w:rPr>
              <w:t>Logrado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Estrategia de comunicación social de los CCP diseñada e implementada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E7A34"/>
                <w:sz w:val="15"/>
              </w:rPr>
              <w:t>Logrado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Estrategias policiales basadas en evidencia diseñadas e implementadas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Modelo de gestión y atención de los CCP homologado, fortalecido y en funcionamiento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Municipalidades y grupos de sociedad civil capacitados en prevención de violencia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E7A34"/>
                <w:sz w:val="15"/>
              </w:rPr>
              <w:t>Logrado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</w:tbl>
    <w:p/>
    <w:p>
      <w:r>
        <w:rPr>
          <w:b/>
          <w:sz w:val="19"/>
        </w:rPr>
        <w:t>Adquisiciones críticas — detalle de proceso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79"/>
        <w:gridCol w:w="2579"/>
        <w:gridCol w:w="2579"/>
        <w:gridCol w:w="2579"/>
      </w:tblGrid>
      <w:tr>
        <w:trPr>
          <w:tblHeader w:val="true"/>
        </w:trPr>
        <w:tc>
          <w:tcPr>
            <w:tcW w:type="dxa" w:w="1445"/>
            <w:shd w:fill="C0392B"/>
          </w:tcPr>
          <w:p>
            <w:r/>
            <w:r>
              <w:rPr>
                <w:b/>
                <w:color w:val="FFFFFF"/>
                <w:sz w:val="18"/>
              </w:rPr>
              <w:t>ID de proceso</w:t>
            </w:r>
          </w:p>
        </w:tc>
        <w:tc>
          <w:tcPr>
            <w:tcW w:type="dxa" w:w="3715"/>
            <w:shd w:fill="C0392B"/>
          </w:tcPr>
          <w:p>
            <w:r/>
            <w:r>
              <w:rPr>
                <w:b/>
                <w:color w:val="FFFFFF"/>
                <w:sz w:val="18"/>
              </w:rPr>
              <w:t>Nombre del proceso</w:t>
            </w:r>
          </w:p>
        </w:tc>
        <w:tc>
          <w:tcPr>
            <w:tcW w:type="dxa" w:w="1651"/>
            <w:shd w:fill="C0392B"/>
          </w:tcPr>
          <w:p>
            <w:r/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3508"/>
            <w:shd w:fill="C0392B"/>
          </w:tcPr>
          <w:p>
            <w:r/>
            <w:r>
              <w:rPr>
                <w:b/>
                <w:color w:val="FFFFFF"/>
                <w:sz w:val="18"/>
              </w:rPr>
              <w:t>Estado del proceso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CR-L1137-P00367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Diseño, demolición, construcción y equipamiento de la Dirección Policial de la Fuerza Pública en Limón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Obras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Contrato en ejecución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CR-L1137-P00375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Diseño, construcción, equipamiento de la Delegación Policial de El Roble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Obras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Contrato en ejecución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CR-L1137-P00348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Diseño, construcción y equipamiento del Centro de Mando y Control del Ministerio de Seguridad Pública en San José.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Obras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Contrato en ejecución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CR-L1137-P00253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Contratación de un(a) Consultor(a) por demanda en Producción Audiovisual para apoyar la gestión de la Gerencia del Componente 2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Consultores Individuales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Contrato en ejecución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CR-L1137-P00198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Contratación de un(a) Consultor(a) por demanda con experiencia en Género para apoyar la gestión de la Gerencia del Componente 2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Consultores Individuales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Contrato en ejecución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CR-L1137-P00326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Diseño, construcción, equipamiento y mantenimiento del CCP en Pérez Zeledón (850 m²)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Obras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Contrato en ejecución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CR-L1137-P00327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Diseño, construcción, equipamiento y mantenimiento del CCP en San José  (850 m²)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Obras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Contrato en ejecución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CR-L1137-P00347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Diseño, construcción, equipamiento y mantenimiento del CCP en Goicoechea (750 m²)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Obras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Contrato en ejecución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CR-L1137-P00314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Contratación 2 de Profesional que brinde asesoría técnica y apoyo operativo a la Gerencia Técnica del Componente 2 para el desarrollo del producto "Modelo Preventivo de Centros Cívicos por la Paz"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Consultores Individuales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Contrato en ejecución</w:t>
            </w:r>
          </w:p>
        </w:tc>
      </w:tr>
    </w:tbl>
    <w:p>
      <w:r>
        <w:br w:type="page"/>
      </w:r>
    </w:p>
    <w:p>
      <w:pPr>
        <w:pStyle w:val="Heading2"/>
      </w:pPr>
      <w:r>
        <w:t>Migración — CR-J0002</w:t>
      </w:r>
    </w:p>
    <w:p>
      <w:r>
        <w:rPr>
          <w:b/>
          <w:sz w:val="19"/>
        </w:rPr>
        <w:t>Indicadores de resultado (detalle completo)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825"/>
            <w:shd w:fill="2F5496"/>
          </w:tcPr>
          <w:p>
            <w:r/>
            <w:r>
              <w:rPr>
                <w:b/>
                <w:color w:val="FFFFFF"/>
                <w:sz w:val="18"/>
              </w:rPr>
              <w:t>Obj.</w:t>
            </w:r>
          </w:p>
        </w:tc>
        <w:tc>
          <w:tcPr>
            <w:tcW w:type="dxa" w:w="4334"/>
            <w:shd w:fill="2F5496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Línea base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1032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type="dxa" w:w="1238"/>
            <w:shd w:fill="2F5496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promedio entre solicitud y entrevista para el trámite de obtención del status de refugiado [años]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0.5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Porcentaje promedio de reacciones xenófobas a tweets de cuentas migratorias institucionales [%]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6.5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5.5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02A2A"/>
                <w:sz w:val="15"/>
              </w:rPr>
              <w:t>Baja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1.2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Ratio de migrantes que asisten de manera recurrente a los centros de acogida y participan en actividades para la prevención social de la violencia [ratio]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1.6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1.3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Porcentaje de solicitudes de protección especial complementaria que son resueltas en un plazo menor a un año [%]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95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1.4</w:t>
            </w:r>
          </w:p>
        </w:tc>
      </w:tr>
    </w:tbl>
    <w:p/>
    <w:p>
      <w:r>
        <w:rPr>
          <w:b/>
          <w:sz w:val="19"/>
        </w:rPr>
        <w:t>Productos críticos (estado y comentarios)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439"/>
        <w:gridCol w:w="3439"/>
        <w:gridCol w:w="3439"/>
      </w:tblGrid>
      <w:tr>
        <w:trPr>
          <w:tblHeader w:val="true"/>
        </w:trPr>
        <w:tc>
          <w:tcPr>
            <w:tcW w:type="dxa" w:w="5675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Producto crítico</w:t>
            </w:r>
          </w:p>
        </w:tc>
        <w:tc>
          <w:tcPr>
            <w:tcW w:type="dxa" w:w="1548"/>
            <w:shd w:fill="2F5496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095"/>
            <w:shd w:fill="2F5496"/>
          </w:tcPr>
          <w:p>
            <w:r/>
            <w:r>
              <w:rPr>
                <w:b/>
                <w:color w:val="FFFFFF"/>
                <w:sz w:val="18"/>
              </w:rPr>
              <w:t>Adquisición crítica / Riesgos y comentarios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Actualización de plataforma tecnológica de la DGME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Apoyo al mecanismo de regularización de personas migrantes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B02A2A"/>
                <w:sz w:val="15"/>
              </w:rPr>
              <w:t>Retrasado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Contratación de personal de apoyo a los procesos / Capacidad de presupuestación de fondos limita el ritmo de contratación de personal de apoyo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Campaña de comunicación contra la xenofobia realizada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Diseño, implementación y evaluación de campaña de sensibilización (firma consultora) / El proceso de adquisición no ha iniciado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Centro Cívico de Upala construido, equipado y en funcionamiento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D+C para CCP de Upala / Procesos estimados para finalizar en 2027 cerca del fin del plazo de desembolsos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Procesos formativos para el fortalecimiento de los Centros Cívicos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Gestor metodológico y Facilitadores de formación en CCP (cons. Individuales)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Programas de formación para la prevención de la trata de personas y tráfico ilegal de migrantes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Formadores expertos en prevención de tráfico ilícito (3 consultores individuales)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Unidad de refugio construida, equipada y en funcionamiento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B02A2A"/>
                <w:sz w:val="15"/>
              </w:rPr>
              <w:t>Retrasado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D+C para construcción y equipamiento de unidad de refugio / Procesos estimados para finalizar en 2027 cerca del fin del plazo de desembolsos</w:t>
            </w:r>
          </w:p>
        </w:tc>
      </w:tr>
    </w:tbl>
    <w:p/>
    <w:p>
      <w:r>
        <w:rPr>
          <w:b/>
          <w:sz w:val="19"/>
        </w:rPr>
        <w:t>Adquisiciones críticas — detalle de proceso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79"/>
        <w:gridCol w:w="2579"/>
        <w:gridCol w:w="2579"/>
        <w:gridCol w:w="2579"/>
      </w:tblGrid>
      <w:tr>
        <w:trPr>
          <w:tblHeader w:val="true"/>
        </w:trPr>
        <w:tc>
          <w:tcPr>
            <w:tcW w:type="dxa" w:w="1445"/>
            <w:shd w:fill="C0392B"/>
          </w:tcPr>
          <w:p>
            <w:r/>
            <w:r>
              <w:rPr>
                <w:b/>
                <w:color w:val="FFFFFF"/>
                <w:sz w:val="18"/>
              </w:rPr>
              <w:t>ID de proceso</w:t>
            </w:r>
          </w:p>
        </w:tc>
        <w:tc>
          <w:tcPr>
            <w:tcW w:type="dxa" w:w="3715"/>
            <w:shd w:fill="C0392B"/>
          </w:tcPr>
          <w:p>
            <w:r/>
            <w:r>
              <w:rPr>
                <w:b/>
                <w:color w:val="FFFFFF"/>
                <w:sz w:val="18"/>
              </w:rPr>
              <w:t>Nombre del proceso</w:t>
            </w:r>
          </w:p>
        </w:tc>
        <w:tc>
          <w:tcPr>
            <w:tcW w:type="dxa" w:w="1651"/>
            <w:shd w:fill="C0392B"/>
          </w:tcPr>
          <w:p>
            <w:r/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3508"/>
            <w:shd w:fill="C0392B"/>
          </w:tcPr>
          <w:p>
            <w:r/>
            <w:r>
              <w:rPr>
                <w:b/>
                <w:color w:val="FFFFFF"/>
                <w:sz w:val="18"/>
              </w:rPr>
              <w:t>Estado del proceso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CR-J0002-P00189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Diseño, construcción y equipamiento Unidad de Refugio y obras conexas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Obras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Evaluación de Ofertas/Propuestas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CR-J0002-P00240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Diseño, implementación y evaluación de campaña de sensibilización contra la xenofobia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Firmas Consultoras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Previsto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CR-J0002-P00187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Diseño, Construcción y Equipamiento del Centro Cívico para la Paz de Upala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Obras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Contrato en ejecución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CR-J0002-P00041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Consultoría formador(a) experto(a) en prevención del tráfico ilícito 1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Consultores Individuales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Previsto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CR-J0002-P00198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Consultoría formador(a) experto(a) en prevención del tráfico ilícito 2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Consultores Individuales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Previsto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CR-J0002-P00199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Consultoría formador(a) experto(a) en prevención del tráfico ilícito 3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Consultores Individuales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Previsto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CR-J0002-P00039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Gestor Metodológico Zona Huetar Norte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Consultores Individuales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Contrato en ejecución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CR-J0002-P00201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Actualización plataforma tecnológica DGME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Firmas Consultoras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Previsto</w:t>
            </w:r>
          </w:p>
        </w:tc>
      </w:tr>
    </w:tbl>
    <w:p>
      <w:r>
        <w:br w:type="page"/>
      </w:r>
    </w:p>
    <w:p>
      <w:pPr>
        <w:pStyle w:val="Heading2"/>
      </w:pPr>
      <w:r>
        <w:t>Educación — CR-L1152</w:t>
      </w:r>
    </w:p>
    <w:p>
      <w:r>
        <w:rPr>
          <w:b/>
          <w:sz w:val="19"/>
        </w:rPr>
        <w:t>Indicadores de resultado (detalle completo)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825"/>
            <w:shd w:fill="2F5496"/>
          </w:tcPr>
          <w:p>
            <w:r/>
            <w:r>
              <w:rPr>
                <w:b/>
                <w:color w:val="FFFFFF"/>
                <w:sz w:val="18"/>
              </w:rPr>
              <w:t>Obj.</w:t>
            </w:r>
          </w:p>
        </w:tc>
        <w:tc>
          <w:tcPr>
            <w:tcW w:type="dxa" w:w="4334"/>
            <w:shd w:fill="2F5496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Línea base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1032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type="dxa" w:w="1238"/>
            <w:shd w:fill="2F5496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Centros educativos priorizados que implementan al menos una intervención de recuperación [%]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40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Estudiantes de primaria que completan el Programa de Tutorías en lecto escritura o matemática [%]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70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1.2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Estudiantes de secundaria que completan el Programa de Tutorías en lecto escritura o matemática [%]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60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1.3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Estudiantes que usan las plataformas educativas [%]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30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Personal que finaliza la enseñanza basada en el desarrollo de competencias con enfoque de género e inclusión [%]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45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2.2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Estudiantes de primaria y secundaria que usan textos educativos [%]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80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2.3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Porcentaje de cambio en el Índice de Clima Escolar en Centros Educativos priorizados [%]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11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2.4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Equipos tecnológicos educativos de aula utilizados por docentes [%]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70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2.5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Docentes que usan equipamiento tecnológico individual para su desarrollo profesional [%]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60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2.6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Centros Regionales de Medios Digitales que producen al menos 2 horas de materiales educativos [%]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70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3.1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Oficinas regionales que reciben informes de gestión del perfil de formación docente semestralmente [#]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27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3.2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JEAs que reportan planeamiento y gasto en el sistema de gestión centralizado al menos una vez al año [%]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75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3.3</w:t>
            </w:r>
          </w:p>
        </w:tc>
      </w:tr>
    </w:tbl>
    <w:p/>
    <w:p>
      <w:r>
        <w:rPr>
          <w:b/>
          <w:sz w:val="19"/>
        </w:rPr>
        <w:t>Productos críticos (estado y comentarios)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439"/>
        <w:gridCol w:w="3439"/>
        <w:gridCol w:w="3439"/>
      </w:tblGrid>
      <w:tr>
        <w:trPr>
          <w:tblHeader w:val="true"/>
        </w:trPr>
        <w:tc>
          <w:tcPr>
            <w:tcW w:type="dxa" w:w="5675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Producto crítico</w:t>
            </w:r>
          </w:p>
        </w:tc>
        <w:tc>
          <w:tcPr>
            <w:tcW w:type="dxa" w:w="1548"/>
            <w:shd w:fill="2F5496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095"/>
            <w:shd w:fill="2F5496"/>
          </w:tcPr>
          <w:p>
            <w:r/>
            <w:r>
              <w:rPr>
                <w:b/>
                <w:color w:val="FFFFFF"/>
                <w:sz w:val="18"/>
              </w:rPr>
              <w:t>Adquisición crítica / Riesgos y comentarios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Centros educativos priorizados con programas de clima escolar con enfoque en diversidad implementados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Computadoras personales entregadas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Cupos abiertos al personal educativo de cursos de formación para el desarrollo de competencias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Equipos tecnológicos educativos de aula y para los estudiantes con criterios de eficiencia entregados a los Centros Educativos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Estudios de grabación con equipamiento para la producción de materiales didácticos mejorados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Informes sobre Autoevaluaciones docentes desarrolladas e implementadas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Juntas Escolares y Administrativas que reciben asistencia técnica al menos una vez cada dos meses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Paquetes de Libros de texto y cuadernos de estudiante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Plataforma para el Sistema de gestión de Juntas Escolares y Administrativas, en funcionamiento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Plataformas educativas desarrolladas con enfoque de género y diversidad para estudiantes y docentes con catálogo y repositorio de recursos digitales por competencias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Reportes de actualización de Programas de Estudios (primera infancia, primaria, secundaria y educación de jóvenes y adultos) con enfoque por competencias aprobados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Servicios de implementación de Planes de Recuperación de Aprendizajes (PRA) para centros educativos priorizados de primaria y secundaria entregados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Servicios individuales de tutorías remotas en funcionamiento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Cuidados — CR-L1156</w:t>
      </w:r>
    </w:p>
    <w:p>
      <w:r>
        <w:rPr>
          <w:b/>
          <w:sz w:val="19"/>
        </w:rPr>
        <w:t>Indicadores de resultado (detalle completo)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825"/>
            <w:shd w:fill="2F5496"/>
          </w:tcPr>
          <w:p>
            <w:r/>
            <w:r>
              <w:rPr>
                <w:b/>
                <w:color w:val="FFFFFF"/>
                <w:sz w:val="18"/>
              </w:rPr>
              <w:t>Obj.</w:t>
            </w:r>
          </w:p>
        </w:tc>
        <w:tc>
          <w:tcPr>
            <w:tcW w:type="dxa" w:w="4334"/>
            <w:shd w:fill="2F5496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Línea base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1032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type="dxa" w:w="1238"/>
            <w:shd w:fill="2F5496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Tasa de pobreza entre personas mayores de 65 años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Porcentaje de personas cuidadoras con síntomas de depresión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1.2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Índice de ampliación del acceso a beneficios del SINCA por condición de dependencia severa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1.3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Aumento en la cobertura de los beneficios del SINCA entre personas con dependencia severa y en situación de pobreza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1.4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Indicador 5.1 — Fortalecimiento institucional SINCA (detalle pendiente de ficha técnica)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5.1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Indicador 5.2 — Fortalecimiento institucional SINCA (detalle pendiente de ficha técnica)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5.2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Indicador 5.3 — Fortalecimiento institucional SINCA (detalle pendiente de ficha técnica)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5.3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Indicador 5.4 — Fortalecimiento institucional SINCA (detalle pendiente de ficha técnica)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5.4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Indicador 6.1 — Cobertura y calidad servicios de atención a la dependencia (detalle pendiente de ficha técnica)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6.1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Indicador 6.2 — Cobertura y calidad servicios de atención a la dependencia (detalle pendiente de ficha técnica)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6.2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Indicador 6.3 — Cobertura y calidad servicios de atención a la dependencia (detalle pendiente de ficha técnica)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6.3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Indicador 6.4 — Cobertura y calidad servicios de atención a la dependencia (detalle pendiente de ficha técnica)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6.4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Indicador 6.5 — Cobertura y calidad servicios de atención a la dependencia (detalle pendiente de ficha técnica)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6.5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Indicador 6.6 — Cobertura y calidad servicios de atención a la dependencia (detalle pendiente de ficha técnica)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Por definir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6.6</w:t>
            </w:r>
          </w:p>
        </w:tc>
      </w:tr>
    </w:tbl>
    <w:p/>
    <w:p>
      <w:r>
        <w:rPr>
          <w:b/>
          <w:sz w:val="19"/>
        </w:rPr>
        <w:t>Productos críticos (estado y comentarios)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439"/>
        <w:gridCol w:w="3439"/>
        <w:gridCol w:w="3439"/>
      </w:tblGrid>
      <w:tr>
        <w:trPr>
          <w:tblHeader w:val="true"/>
        </w:trPr>
        <w:tc>
          <w:tcPr>
            <w:tcW w:type="dxa" w:w="5675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Producto crítico</w:t>
            </w:r>
          </w:p>
        </w:tc>
        <w:tc>
          <w:tcPr>
            <w:tcW w:type="dxa" w:w="1548"/>
            <w:shd w:fill="2F5496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095"/>
            <w:shd w:fill="2F5496"/>
          </w:tcPr>
          <w:p>
            <w:r/>
            <w:r>
              <w:rPr>
                <w:b/>
                <w:color w:val="FFFFFF"/>
                <w:sz w:val="18"/>
              </w:rPr>
              <w:t>Adquisición crítica / Riesgos y comentarios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Modelo de fiscalización de la calidad de servicios en las Organizaciones de Bienestar Social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Modelo de focalización con línea de pobreza ajustada por discapacidad y dependencia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Plataforma de vinculación de usuarios de servicios de cuidados y personas cuidadoras (CUIDAR.CR)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Registro Nacional de Personas Cuidadoras con código QR en CUIDAR.CR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Sistema de valoración funcional de la dependencia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Ventanilla Única de Servicios con baremo incorporado al sistema de referencias del SINIRUBE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Energía II — CR-L1157</w:t>
      </w:r>
    </w:p>
    <w:p>
      <w:r>
        <w:rPr>
          <w:b/>
          <w:sz w:val="19"/>
        </w:rPr>
        <w:t>Indicadores de resultado (detalle completo)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825"/>
            <w:shd w:fill="2F5496"/>
          </w:tcPr>
          <w:p>
            <w:r/>
            <w:r>
              <w:rPr>
                <w:b/>
                <w:color w:val="FFFFFF"/>
                <w:sz w:val="18"/>
              </w:rPr>
              <w:t>Obj.</w:t>
            </w:r>
          </w:p>
        </w:tc>
        <w:tc>
          <w:tcPr>
            <w:tcW w:type="dxa" w:w="4334"/>
            <w:shd w:fill="2F5496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Línea base</w:t>
            </w:r>
          </w:p>
        </w:tc>
        <w:tc>
          <w:tcPr>
            <w:tcW w:type="dxa" w:w="1445"/>
            <w:shd w:fill="2F5496"/>
          </w:tcPr>
          <w:p>
            <w:r/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1032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type="dxa" w:w="1238"/>
            <w:shd w:fill="2F5496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total de interrupciones forzadas [Horas/año]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477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200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Tiempo total de interrupciones programadas [Horas/año]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3443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2500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1.2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Mujeres contratadas durante la modernización de PHVG [%]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1.3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Duración promedio de las fallas en equipos de transformación [min] (*)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188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174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2.1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Tasa de falla de transformadores de potencia [%] (*)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8.7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7.4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B86B00"/>
                <w:sz w:val="15"/>
              </w:rPr>
              <w:t>Media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2.2</w:t>
            </w:r>
          </w:p>
        </w:tc>
      </w:tr>
      <w:tr>
        <w:tc>
          <w:tcPr>
            <w:tcW w:type="dxa" w:w="825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4334"/>
          </w:tcPr>
          <w:p>
            <w:r/>
            <w:r>
              <w:rPr>
                <w:sz w:val="15"/>
              </w:rPr>
              <w:t>Consumo de electricidad anual del sistema de alumbrado público [MWh/año]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22338</w:t>
            </w:r>
          </w:p>
        </w:tc>
        <w:tc>
          <w:tcPr>
            <w:tcW w:type="dxa" w:w="1445"/>
          </w:tcPr>
          <w:p>
            <w:r/>
            <w:r>
              <w:rPr>
                <w:sz w:val="15"/>
              </w:rPr>
              <w:t>14600</w:t>
            </w:r>
          </w:p>
        </w:tc>
        <w:tc>
          <w:tcPr>
            <w:tcW w:type="dxa" w:w="1032"/>
          </w:tcPr>
          <w:p>
            <w:r/>
            <w:r>
              <w:rPr>
                <w:b/>
                <w:color w:val="1E7A34"/>
                <w:sz w:val="15"/>
              </w:rPr>
              <w:t>Alta</w:t>
            </w:r>
          </w:p>
        </w:tc>
        <w:tc>
          <w:tcPr>
            <w:tcW w:type="dxa" w:w="1238"/>
          </w:tcPr>
          <w:p>
            <w:r/>
            <w:r>
              <w:rPr>
                <w:sz w:val="15"/>
              </w:rPr>
              <w:t>3.1</w:t>
            </w:r>
          </w:p>
        </w:tc>
      </w:tr>
    </w:tbl>
    <w:p/>
    <w:p>
      <w:r>
        <w:rPr>
          <w:b/>
          <w:sz w:val="19"/>
        </w:rPr>
        <w:t>Productos críticos (estado y comentarios)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439"/>
        <w:gridCol w:w="3439"/>
        <w:gridCol w:w="3439"/>
      </w:tblGrid>
      <w:tr>
        <w:trPr>
          <w:tblHeader w:val="true"/>
        </w:trPr>
        <w:tc>
          <w:tcPr>
            <w:tcW w:type="dxa" w:w="5675"/>
            <w:shd w:fill="2F5496"/>
          </w:tcPr>
          <w:p>
            <w:r/>
            <w:r>
              <w:rPr>
                <w:b/>
                <w:color w:val="FFFFFF"/>
                <w:sz w:val="18"/>
              </w:rPr>
              <w:t>Producto crítico</w:t>
            </w:r>
          </w:p>
        </w:tc>
        <w:tc>
          <w:tcPr>
            <w:tcW w:type="dxa" w:w="1548"/>
            <w:shd w:fill="2F5496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095"/>
            <w:shd w:fill="2F5496"/>
          </w:tcPr>
          <w:p>
            <w:r/>
            <w:r>
              <w:rPr>
                <w:b/>
                <w:color w:val="FFFFFF"/>
                <w:sz w:val="18"/>
              </w:rPr>
              <w:t>Adquisición crítica / Riesgos y comentarios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Casa de máquinas modernizada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Luminarias LED instaladas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Obras de captación de agua modernizadas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1F4E79"/>
                <w:sz w:val="15"/>
              </w:rPr>
              <w:t>En tiempo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5675"/>
          </w:tcPr>
          <w:p>
            <w:r/>
            <w:r>
              <w:rPr>
                <w:sz w:val="15"/>
              </w:rPr>
              <w:t>Transformadores de potencia y reactores instalados</w:t>
            </w:r>
          </w:p>
        </w:tc>
        <w:tc>
          <w:tcPr>
            <w:tcW w:type="dxa" w:w="1548"/>
          </w:tcPr>
          <w:p>
            <w:r/>
            <w:r>
              <w:rPr>
                <w:b/>
                <w:color w:val="B86B00"/>
                <w:sz w:val="15"/>
              </w:rPr>
              <w:t>Pausado</w:t>
            </w:r>
          </w:p>
        </w:tc>
        <w:tc>
          <w:tcPr>
            <w:tcW w:type="dxa" w:w="3095"/>
          </w:tcPr>
          <w:p>
            <w:r/>
            <w:r>
              <w:rPr>
                <w:sz w:val="15"/>
              </w:rPr>
              <w:t>—</w:t>
            </w:r>
          </w:p>
        </w:tc>
      </w:tr>
    </w:tbl>
    <w:p/>
    <w:p>
      <w:r>
        <w:rPr>
          <w:b/>
          <w:sz w:val="19"/>
        </w:rPr>
        <w:t>Adquisiciones críticas — detalle de proceso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79"/>
        <w:gridCol w:w="2579"/>
        <w:gridCol w:w="2579"/>
        <w:gridCol w:w="2579"/>
      </w:tblGrid>
      <w:tr>
        <w:trPr>
          <w:tblHeader w:val="true"/>
        </w:trPr>
        <w:tc>
          <w:tcPr>
            <w:tcW w:type="dxa" w:w="1445"/>
            <w:shd w:fill="C0392B"/>
          </w:tcPr>
          <w:p>
            <w:r/>
            <w:r>
              <w:rPr>
                <w:b/>
                <w:color w:val="FFFFFF"/>
                <w:sz w:val="18"/>
              </w:rPr>
              <w:t>ID de proceso</w:t>
            </w:r>
          </w:p>
        </w:tc>
        <w:tc>
          <w:tcPr>
            <w:tcW w:type="dxa" w:w="3715"/>
            <w:shd w:fill="C0392B"/>
          </w:tcPr>
          <w:p>
            <w:r/>
            <w:r>
              <w:rPr>
                <w:b/>
                <w:color w:val="FFFFFF"/>
                <w:sz w:val="18"/>
              </w:rPr>
              <w:t>Nombre del proceso</w:t>
            </w:r>
          </w:p>
        </w:tc>
        <w:tc>
          <w:tcPr>
            <w:tcW w:type="dxa" w:w="1651"/>
            <w:shd w:fill="C0392B"/>
          </w:tcPr>
          <w:p>
            <w:r/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3508"/>
            <w:shd w:fill="C0392B"/>
          </w:tcPr>
          <w:p>
            <w:r/>
            <w:r>
              <w:rPr>
                <w:b/>
                <w:color w:val="FFFFFF"/>
                <w:sz w:val="18"/>
              </w:rPr>
              <w:t>Estado del proceso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CR-L1157-P00001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Adquisición de equipos electromecánicos de casa de máquinas modernización Ventanas Garita.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Bienes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Proceso en Curso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CR-L1157-P00002-AA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Adquisición de: dos puentes grúa de doble viga en configuración tándem.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Bienes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Previsto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CR-L1157-P00005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Adquisición de transformadores elevadores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Bienes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Previsto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CR-L1157-P00003-AA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Adquisición de Transformadores de potencia y Reactores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Bienes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Previsto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CR-L1157-P00004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Adquisición de luminarias LED y controles fotoeléctricos para alumbrado público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Bienes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Previsto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CR-L1157-P00006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Adquisición de equipos de compuertas, equipos de izaje y limpia rejas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Bienes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Previsto</w:t>
            </w:r>
          </w:p>
        </w:tc>
      </w:tr>
      <w:tr>
        <w:tc>
          <w:tcPr>
            <w:tcW w:type="dxa" w:w="1445"/>
          </w:tcPr>
          <w:p>
            <w:r/>
            <w:r>
              <w:rPr>
                <w:sz w:val="15"/>
              </w:rPr>
              <w:t>CR-L1157-P00007</w:t>
            </w:r>
          </w:p>
        </w:tc>
        <w:tc>
          <w:tcPr>
            <w:tcW w:type="dxa" w:w="3715"/>
          </w:tcPr>
          <w:p>
            <w:r/>
            <w:r>
              <w:rPr>
                <w:sz w:val="15"/>
              </w:rPr>
              <w:t>Adquisición de draga para limpieza del embalse</w:t>
            </w:r>
          </w:p>
        </w:tc>
        <w:tc>
          <w:tcPr>
            <w:tcW w:type="dxa" w:w="1651"/>
          </w:tcPr>
          <w:p>
            <w:r/>
            <w:r>
              <w:rPr>
                <w:sz w:val="15"/>
              </w:rPr>
              <w:t>Bienes</w:t>
            </w:r>
          </w:p>
        </w:tc>
        <w:tc>
          <w:tcPr>
            <w:tcW w:type="dxa" w:w="3508"/>
          </w:tcPr>
          <w:p>
            <w:r/>
            <w:r>
              <w:rPr>
                <w:sz w:val="15"/>
              </w:rPr>
              <w:t>Previsto</w:t>
            </w:r>
          </w:p>
        </w:tc>
      </w:tr>
    </w:tbl>
    <w:sectPr w:rsidR="00FC693F" w:rsidRPr="0006063C" w:rsidSect="00034616">
      <w:pgSz w:w="11906" w:h="16838"/>
      <w:pgMar w:top="850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