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 Se actualiza automáticamente cada lunes (ver sección CSV).</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pPr>
        <w:spacing w:after="160"/>
      </w:pPr>
      <w:r>
        <w:t xml:space="preserve">El CSV se puede actualizar de dos formas. Las dos son válidas: la automática es la habitual y la manual sirve cuando se necesita un dato más reciente entre lunes o si la automática falla.</w:t>
      </w:r>
    </w:p>
    <w:p>
      <w:pPr>
        <w:pStyle w:val="Heading3"/>
        <w:spacing w:before="200" w:after="100"/>
      </w:pPr>
      <w:r>
        <w:t xml:space="preserve">Actualización automática (todos los lunes)</w:t>
      </w:r>
    </w:p>
    <w:p>
      <w:pPr>
        <w:pStyle w:val="ListParagraph"/>
        <w:numPr>
          <w:ilvl w:val="0"/>
          <w:numId w:val="15"/>
        </w:numPr>
        <w:spacing w:after="80"/>
      </w:pPr>
      <w:r>
        <w:t xml:space="preserve">Una </w:t>
      </w:r>
      <w:r>
        <w:rPr>
          <w:b/>
          <w:bCs/>
        </w:rPr>
        <w:t xml:space="preserve">suscripción en PowerBI</w:t>
      </w:r>
      <w:r>
        <w:t xml:space="preserve"> al reporte de cláusulas contractuales envía por correo, </w:t>
      </w:r>
      <w:r>
        <w:rPr>
          <w:b/>
          <w:bCs/>
        </w:rPr>
        <w:t xml:space="preserve">todos los lunes a las 9:00 a.m.</w:t>
      </w:r>
      <w:r>
        <w:t xml:space="preserve">, una versión actualizada del CSV como adjunto. La suscripción debe mantener los mismos filtros de la descarga manual (ver abajo).</w:t>
      </w:r>
    </w:p>
    <w:p>
      <w:pPr>
        <w:pStyle w:val="ListParagraph"/>
        <w:numPr>
          <w:ilvl w:val="0"/>
          <w:numId w:val="15"/>
        </w:numPr>
        <w:spacing w:after="80"/>
      </w:pPr>
      <w:r>
        <w:t xml:space="preserve">Un flujo de </w:t>
      </w:r>
      <w:r>
        <w:rPr>
          <w:b/>
          <w:bCs/>
        </w:rPr>
        <w:t xml:space="preserve">Microsoft Power Automate</w:t>
      </w:r>
      <w:r>
        <w:t xml:space="preserve"> (Torre CCR – Actualizar CSV cláusulas) detecta ese correo y guarda el adjunto en la carpeta compartida de Torre de Control, </w:t>
      </w:r>
      <w:r>
        <w:rPr>
          <w:b/>
          <w:bCs/>
        </w:rPr>
        <w:t xml:space="preserve">sobrescribiendo</w:t>
      </w:r>
      <w:r>
        <w:t xml:space="preserve"> </w:t>
      </w:r>
      <w:r>
        <w:rPr>
          <w:rFonts w:ascii="Consolas" w:hAnsi="Consolas"/>
        </w:rPr>
        <w:t xml:space="preserve">Status Date Clause Operation.csv</w:t>
      </w:r>
      <w:r>
        <w:t xml:space="preserve">. El flujo siempre usa ese nombre exacto, aunque el adjunto llegue con otro.</w:t>
      </w:r>
    </w:p>
    <w:p>
      <w:pPr>
        <w:pStyle w:val="ListParagraph"/>
        <w:numPr>
          <w:ilvl w:val="0"/>
          <w:numId w:val="15"/>
        </w:numPr>
        <w:spacing w:after="80"/>
      </w:pPr>
      <w:r>
        <w:t xml:space="preserve">El administrador de la aplicación revisa el CSV actualizado y realiza el commit en el repositorio. Las personas usuarias no necesitan hacer nada para esta actualización semanal.</w:t>
      </w:r>
    </w:p>
    <w:p>
      <w:pPr>
        <w:spacing w:after="100"/>
      </w:pPr>
      <w:r>
        <w:t xml:space="preserve">Estructura del flujo, como referencia para revisarlo o recrearlo: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3000"/>
        <w:gridCol w:w="5860"/>
      </w:tblGrid>
      <w:tr>
        <w:trPr>
          <w:tblHeader/>
        </w:trPr>
        <w:tc>
          <w:tcPr>
            <w:tcW w:w="500" w:type="dxa"/>
            <w:shd w:val="clear" w:color="auto" w:fill="1F4E79"/>
            <w:tcMar>
              <w:top w:w="80" w:type="dxa"/>
              <w:left w:w="100" w:type="dxa"/>
              <w:bottom w:w="80" w:type="dxa"/>
              <w:right w:w="100" w:type="dxa"/>
            </w:tcMar>
          </w:tcPr>
          <w:p>
            <w:pPr>
              <w:spacing w:after="0"/>
            </w:pPr>
            <w:r>
              <w:rPr>
                <w:color w:val="FFFFFF"/>
                <w:sz w:val="20"/>
                <w:szCs w:val="20"/>
                <w:b/>
                <w:bCs/>
              </w:rPr>
              <w:t xml:space="preserve">#</w:t>
            </w:r>
          </w:p>
        </w:tc>
        <w:tc>
          <w:tcPr>
            <w:tcW w:w="3000" w:type="dxa"/>
            <w:shd w:val="clear" w:color="auto" w:fill="1F4E79"/>
            <w:tcMar>
              <w:top w:w="80" w:type="dxa"/>
              <w:left w:w="100" w:type="dxa"/>
              <w:bottom w:w="80" w:type="dxa"/>
              <w:right w:w="100" w:type="dxa"/>
            </w:tcMar>
          </w:tcPr>
          <w:p>
            <w:pPr>
              <w:spacing w:after="0"/>
            </w:pPr>
            <w:r>
              <w:rPr>
                <w:color w:val="FFFFFF"/>
                <w:sz w:val="20"/>
                <w:szCs w:val="20"/>
                <w:b/>
                <w:bCs/>
              </w:rPr>
              <w:t xml:space="preserve">Acción</w:t>
            </w:r>
          </w:p>
        </w:tc>
        <w:tc>
          <w:tcPr>
            <w:tcW w:w="5860" w:type="dxa"/>
            <w:shd w:val="clear" w:color="auto" w:fill="1F4E79"/>
            <w:tcMar>
              <w:top w:w="80" w:type="dxa"/>
              <w:left w:w="100" w:type="dxa"/>
              <w:bottom w:w="80" w:type="dxa"/>
              <w:right w:w="100" w:type="dxa"/>
            </w:tcMar>
          </w:tcPr>
          <w:p>
            <w:pPr>
              <w:spacing w:after="0"/>
            </w:pPr>
            <w:r>
              <w:rPr>
                <w:color w:val="FFFFFF"/>
                <w:sz w:val="20"/>
                <w:szCs w:val="20"/>
                <w:b/>
                <w:bCs/>
              </w:rPr>
              <w:t xml:space="preserve">Configuración</w:t>
            </w:r>
          </w:p>
        </w:tc>
      </w:tr>
      <w:tr>
        <w:trPr>
          <w:cantSplit/>
        </w:trPr>
        <w:tc>
          <w:tcPr>
            <w:tcW w:w="500" w:type="dxa"/>
            <w:tcMar>
              <w:top w:w="80" w:type="dxa"/>
              <w:left w:w="100" w:type="dxa"/>
              <w:bottom w:w="80" w:type="dxa"/>
              <w:right w:w="100" w:type="dxa"/>
            </w:tcMar>
          </w:tcPr>
          <w:p>
            <w:pPr>
              <w:spacing w:after="0"/>
            </w:pPr>
            <w:r>
              <w:rPr>
                <w:sz w:val="20"/>
                <w:szCs w:val="20"/>
              </w:rPr>
              <w:t xml:space="preserve">1</w:t>
            </w:r>
          </w:p>
        </w:tc>
        <w:tc>
          <w:tcPr>
            <w:tcW w:w="3000" w:type="dxa"/>
            <w:tcMar>
              <w:top w:w="80" w:type="dxa"/>
              <w:left w:w="100" w:type="dxa"/>
              <w:bottom w:w="80" w:type="dxa"/>
              <w:right w:w="100" w:type="dxa"/>
            </w:tcMar>
          </w:tcPr>
          <w:p>
            <w:pPr>
              <w:spacing w:after="0"/>
            </w:pPr>
            <w:r>
              <w:rPr>
                <w:sz w:val="20"/>
                <w:szCs w:val="20"/>
              </w:rPr>
              <w:t xml:space="preserve">When a new email arrives (V3) (Office 365 Outlook)</w:t>
            </w:r>
          </w:p>
        </w:tc>
        <w:tc>
          <w:tcPr>
            <w:tcW w:w="5860" w:type="dxa"/>
            <w:tcMar>
              <w:top w:w="80" w:type="dxa"/>
              <w:left w:w="100" w:type="dxa"/>
              <w:bottom w:w="80" w:type="dxa"/>
              <w:right w:w="100" w:type="dxa"/>
            </w:tcMar>
          </w:tcPr>
          <w:p>
            <w:pPr>
              <w:spacing w:after="0"/>
            </w:pPr>
            <w:r>
              <w:rPr>
                <w:sz w:val="20"/>
                <w:szCs w:val="20"/>
              </w:rPr>
              <w:t xml:space="preserve">Remitente y filtro de asunto del correo de la suscripción; Include Attachments = Yes; Only with Attachments = Yes</w:t>
            </w:r>
          </w:p>
        </w:tc>
      </w:tr>
      <w:tr>
        <w:trPr>
          <w:cantSplit/>
        </w:trPr>
        <w:tc>
          <w:tcPr>
            <w:tcW w:w="500" w:type="dxa"/>
            <w:tcMar>
              <w:top w:w="80" w:type="dxa"/>
              <w:left w:w="100" w:type="dxa"/>
              <w:bottom w:w="80" w:type="dxa"/>
              <w:right w:w="100" w:type="dxa"/>
            </w:tcMar>
          </w:tcPr>
          <w:p>
            <w:pPr>
              <w:spacing w:after="0"/>
            </w:pPr>
            <w:r>
              <w:rPr>
                <w:sz w:val="20"/>
                <w:szCs w:val="20"/>
              </w:rPr>
              <w:t xml:space="preserve">2</w:t>
            </w:r>
          </w:p>
        </w:tc>
        <w:tc>
          <w:tcPr>
            <w:tcW w:w="3000" w:type="dxa"/>
            <w:tcMar>
              <w:top w:w="80" w:type="dxa"/>
              <w:left w:w="100" w:type="dxa"/>
              <w:bottom w:w="80" w:type="dxa"/>
              <w:right w:w="100" w:type="dxa"/>
            </w:tcMar>
          </w:tcPr>
          <w:p>
            <w:pPr>
              <w:spacing w:after="0"/>
            </w:pPr>
            <w:r>
              <w:rPr>
                <w:sz w:val="20"/>
                <w:szCs w:val="20"/>
              </w:rPr>
              <w:t xml:space="preserve">Apply to each</w:t>
            </w:r>
          </w:p>
        </w:tc>
        <w:tc>
          <w:tcPr>
            <w:tcW w:w="5860" w:type="dxa"/>
            <w:tcMar>
              <w:top w:w="80" w:type="dxa"/>
              <w:left w:w="100" w:type="dxa"/>
              <w:bottom w:w="80" w:type="dxa"/>
              <w:right w:w="100" w:type="dxa"/>
            </w:tcMar>
          </w:tcPr>
          <w:p>
            <w:pPr>
              <w:spacing w:after="0"/>
            </w:pPr>
            <w:r>
              <w:rPr>
                <w:sz w:val="20"/>
                <w:szCs w:val="20"/>
              </w:rPr>
              <w:t xml:space="preserve">Sobre Attachments del paso 1</w:t>
            </w:r>
          </w:p>
        </w:tc>
      </w:tr>
      <w:tr>
        <w:trPr>
          <w:cantSplit/>
        </w:trPr>
        <w:tc>
          <w:tcPr>
            <w:tcW w:w="500" w:type="dxa"/>
            <w:tcMar>
              <w:top w:w="80" w:type="dxa"/>
              <w:left w:w="100" w:type="dxa"/>
              <w:bottom w:w="80" w:type="dxa"/>
              <w:right w:w="100" w:type="dxa"/>
            </w:tcMar>
          </w:tcPr>
          <w:p>
            <w:pPr>
              <w:spacing w:after="0"/>
            </w:pPr>
            <w:r>
              <w:rPr>
                <w:sz w:val="20"/>
                <w:szCs w:val="20"/>
              </w:rPr>
              <w:t xml:space="preserve">3</w:t>
            </w:r>
          </w:p>
        </w:tc>
        <w:tc>
          <w:tcPr>
            <w:tcW w:w="3000" w:type="dxa"/>
            <w:tcMar>
              <w:top w:w="80" w:type="dxa"/>
              <w:left w:w="100" w:type="dxa"/>
              <w:bottom w:w="80" w:type="dxa"/>
              <w:right w:w="100" w:type="dxa"/>
            </w:tcMar>
          </w:tcPr>
          <w:p>
            <w:pPr>
              <w:spacing w:after="0"/>
            </w:pPr>
            <w:r>
              <w:rPr>
                <w:sz w:val="20"/>
                <w:szCs w:val="20"/>
              </w:rPr>
              <w:t xml:space="preserve">Condition</w:t>
            </w:r>
          </w:p>
        </w:tc>
        <w:tc>
          <w:tcPr>
            <w:tcW w:w="5860" w:type="dxa"/>
            <w:tcMar>
              <w:top w:w="80" w:type="dxa"/>
              <w:left w:w="100" w:type="dxa"/>
              <w:bottom w:w="80" w:type="dxa"/>
              <w:right w:w="100" w:type="dxa"/>
            </w:tcMar>
          </w:tcPr>
          <w:p>
            <w:pPr>
              <w:spacing w:after="0"/>
            </w:pPr>
            <w:r>
              <w:rPr>
                <w:sz w:val="20"/>
                <w:szCs w:val="20"/>
              </w:rPr>
              <w:t xml:space="preserve">Attachments Name ends with </w:t>
            </w:r>
            <w:r>
              <w:rPr>
                <w:sz w:val="20"/>
                <w:szCs w:val="20"/>
                <w:rFonts w:ascii="Consolas" w:hAnsi="Consolas"/>
              </w:rPr>
              <w:t xml:space="preserve">.csv</w:t>
            </w:r>
            <w:r>
              <w:rPr>
                <w:sz w:val="20"/>
                <w:szCs w:val="20"/>
              </w:rPr>
              <w:t xml:space="preserve"> (las acciones siguientes van en la rama True)</w:t>
            </w:r>
          </w:p>
        </w:tc>
      </w:tr>
      <w:tr>
        <w:trPr>
          <w:cantSplit/>
        </w:trPr>
        <w:tc>
          <w:tcPr>
            <w:tcW w:w="500" w:type="dxa"/>
            <w:tcMar>
              <w:top w:w="80" w:type="dxa"/>
              <w:left w:w="100" w:type="dxa"/>
              <w:bottom w:w="80" w:type="dxa"/>
              <w:right w:w="100" w:type="dxa"/>
            </w:tcMar>
          </w:tcPr>
          <w:p>
            <w:pPr>
              <w:spacing w:after="0"/>
            </w:pPr>
            <w:r>
              <w:rPr>
                <w:sz w:val="20"/>
                <w:szCs w:val="20"/>
              </w:rPr>
              <w:t xml:space="preserve">4</w:t>
            </w:r>
          </w:p>
        </w:tc>
        <w:tc>
          <w:tcPr>
            <w:tcW w:w="3000" w:type="dxa"/>
            <w:tcMar>
              <w:top w:w="80" w:type="dxa"/>
              <w:left w:w="100" w:type="dxa"/>
              <w:bottom w:w="80" w:type="dxa"/>
              <w:right w:w="100" w:type="dxa"/>
            </w:tcMar>
          </w:tcPr>
          <w:p>
            <w:pPr>
              <w:spacing w:after="0"/>
            </w:pPr>
            <w:r>
              <w:rPr>
                <w:sz w:val="20"/>
                <w:szCs w:val="20"/>
              </w:rPr>
              <w:t xml:space="preserve">Get file metadata using path (OneDrive for Business)</w:t>
            </w:r>
          </w:p>
        </w:tc>
        <w:tc>
          <w:tcPr>
            <w:tcW w:w="5860" w:type="dxa"/>
            <w:tcMar>
              <w:top w:w="80" w:type="dxa"/>
              <w:left w:w="100" w:type="dxa"/>
              <w:bottom w:w="80" w:type="dxa"/>
              <w:right w:w="100" w:type="dxa"/>
            </w:tcMar>
          </w:tcPr>
          <w:p>
            <w:pPr>
              <w:spacing w:after="0"/>
            </w:pPr>
            <w:r>
              <w:rPr>
                <w:sz w:val="20"/>
                <w:szCs w:val="20"/>
              </w:rPr>
              <w:t xml:space="preserve">Ruta del CSV en la carpeta de Torre de Control</w:t>
            </w:r>
          </w:p>
        </w:tc>
      </w:tr>
      <w:tr>
        <w:trPr>
          <w:cantSplit/>
        </w:trPr>
        <w:tc>
          <w:tcPr>
            <w:tcW w:w="500" w:type="dxa"/>
            <w:tcMar>
              <w:top w:w="80" w:type="dxa"/>
              <w:left w:w="100" w:type="dxa"/>
              <w:bottom w:w="80" w:type="dxa"/>
              <w:right w:w="100" w:type="dxa"/>
            </w:tcMar>
          </w:tcPr>
          <w:p>
            <w:pPr>
              <w:spacing w:after="0"/>
            </w:pPr>
            <w:r>
              <w:rPr>
                <w:sz w:val="20"/>
                <w:szCs w:val="20"/>
              </w:rPr>
              <w:t xml:space="preserve">5</w:t>
            </w:r>
          </w:p>
        </w:tc>
        <w:tc>
          <w:tcPr>
            <w:tcW w:w="3000" w:type="dxa"/>
            <w:tcMar>
              <w:top w:w="80" w:type="dxa"/>
              <w:left w:w="100" w:type="dxa"/>
              <w:bottom w:w="80" w:type="dxa"/>
              <w:right w:w="100" w:type="dxa"/>
            </w:tcMar>
          </w:tcPr>
          <w:p>
            <w:pPr>
              <w:spacing w:after="0"/>
            </w:pPr>
            <w:r>
              <w:rPr>
                <w:sz w:val="20"/>
                <w:szCs w:val="20"/>
              </w:rPr>
              <w:t xml:space="preserve">Update file (OneDrive for Business)</w:t>
            </w:r>
          </w:p>
        </w:tc>
        <w:tc>
          <w:tcPr>
            <w:tcW w:w="5860" w:type="dxa"/>
            <w:tcMar>
              <w:top w:w="80" w:type="dxa"/>
              <w:left w:w="100" w:type="dxa"/>
              <w:bottom w:w="80" w:type="dxa"/>
              <w:right w:w="100" w:type="dxa"/>
            </w:tcMar>
          </w:tcPr>
          <w:p>
            <w:pPr>
              <w:spacing w:after="0"/>
            </w:pPr>
            <w:r>
              <w:rPr>
                <w:sz w:val="20"/>
                <w:szCs w:val="20"/>
              </w:rPr>
              <w:t xml:space="preserve">File = Id del paso 4; File Content = Attachments Content</w:t>
            </w:r>
          </w:p>
        </w:tc>
      </w:tr>
      <w:tr>
        <w:trPr>
          <w:cantSplit/>
        </w:trPr>
        <w:tc>
          <w:tcPr>
            <w:tcW w:w="500" w:type="dxa"/>
            <w:tcMar>
              <w:top w:w="80" w:type="dxa"/>
              <w:left w:w="100" w:type="dxa"/>
              <w:bottom w:w="80" w:type="dxa"/>
              <w:right w:w="100" w:type="dxa"/>
            </w:tcMar>
          </w:tcPr>
          <w:p>
            <w:pPr>
              <w:spacing w:after="0"/>
            </w:pPr>
            <w:r>
              <w:rPr>
                <w:sz w:val="20"/>
                <w:szCs w:val="20"/>
              </w:rPr>
              <w:t xml:space="preserve">6</w:t>
            </w:r>
          </w:p>
        </w:tc>
        <w:tc>
          <w:tcPr>
            <w:tcW w:w="3000" w:type="dxa"/>
            <w:tcMar>
              <w:top w:w="80" w:type="dxa"/>
              <w:left w:w="100" w:type="dxa"/>
              <w:bottom w:w="80" w:type="dxa"/>
              <w:right w:w="100" w:type="dxa"/>
            </w:tcMar>
          </w:tcPr>
          <w:p>
            <w:pPr>
              <w:spacing w:after="0"/>
            </w:pPr>
            <w:r>
              <w:rPr>
                <w:sz w:val="20"/>
                <w:szCs w:val="20"/>
              </w:rPr>
              <w:t xml:space="preserve">Create file (OneDrive for Business)</w:t>
            </w:r>
          </w:p>
        </w:tc>
        <w:tc>
          <w:tcPr>
            <w:tcW w:w="5860" w:type="dxa"/>
            <w:tcMar>
              <w:top w:w="80" w:type="dxa"/>
              <w:left w:w="100" w:type="dxa"/>
              <w:bottom w:w="80" w:type="dxa"/>
              <w:right w:w="100" w:type="dxa"/>
            </w:tcMar>
          </w:tcPr>
          <w:p>
            <w:pPr>
              <w:spacing w:after="0"/>
            </w:pPr>
            <w:r>
              <w:rPr>
                <w:sz w:val="20"/>
                <w:szCs w:val="20"/>
              </w:rPr>
              <w:t xml:space="preserve">Respaldo si el archivo no existe: carpeta de Torre de Control, nombre </w:t>
            </w:r>
            <w:r>
              <w:rPr>
                <w:sz w:val="20"/>
                <w:szCs w:val="20"/>
                <w:rFonts w:ascii="Consolas" w:hAnsi="Consolas"/>
              </w:rPr>
              <w:t xml:space="preserve">Status Date Clause Operation.csv</w:t>
            </w:r>
            <w:r>
              <w:rPr>
                <w:sz w:val="20"/>
                <w:szCs w:val="20"/>
              </w:rPr>
              <w:t xml:space="preserve">, contenido = Attachments Content. En Settings → Run after de Update file: solo has failed e is skipped</w:t>
            </w:r>
          </w:p>
        </w:tc>
      </w:tr>
    </w:tbl>
    <w:p>
      <w:pPr>
        <w:spacing w:after="60"/>
      </w:pPr>
    </w:p>
    <w:p>
      <w:pPr>
        <w:spacing w:after="80"/>
      </w:pPr>
      <w:r>
        <w:t xml:space="preserve">Si el lunes el CSV no se actualizó (la fecha de modificación del archivo en la carpeta compartida no es la del día):</w:t>
      </w:r>
    </w:p>
    <w:p>
      <w:pPr>
        <w:pStyle w:val="ListParagraph"/>
        <w:numPr>
          <w:ilvl w:val="0"/>
          <w:numId w:val="8"/>
        </w:numPr>
        <w:spacing w:after="80"/>
      </w:pPr>
      <w:r>
        <w:t xml:space="preserve">Avisa al administrador de la aplicación, que revisará el historial de ejecuciones del flujo en make.powerautomate.com → My flows.</w:t>
      </w:r>
    </w:p>
    <w:p>
      <w:pPr>
        <w:pStyle w:val="ListParagraph"/>
        <w:numPr>
          <w:ilvl w:val="0"/>
          <w:numId w:val="8"/>
        </w:numPr>
        <w:spacing w:after="80"/>
      </w:pPr>
      <w:r>
        <w:t xml:space="preserve">Causas habituales: cambió el remitente o el asunto del correo de la suscripción; el correo llegó sin adjunto; venció la conexión de Outlook u OneDrive; o el CSV se borró de la carpeta.</w:t>
      </w:r>
    </w:p>
    <w:p>
      <w:pPr>
        <w:pStyle w:val="ListParagraph"/>
        <w:numPr>
          <w:ilvl w:val="0"/>
          <w:numId w:val="8"/>
        </w:numPr>
        <w:spacing w:after="80"/>
      </w:pPr>
      <w:r>
        <w:t xml:space="preserve">Mientras se resuelve, usa la actualización manual.</w:t>
      </w:r>
    </w:p>
    <w:p>
      <w:pPr>
        <w:pStyle w:val="Heading3"/>
        <w:spacing w:before="200" w:after="100"/>
      </w:pPr>
      <w:r>
        <w:t xml:space="preserve">Actualización manual (descarga desde PowerBI)</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pPr>
        <w:spacing w:after="160"/>
      </w:pPr>
      <w:r>
        <w:t xml:space="preserve">Guarda el archivo con el nombre exacto </w:t>
      </w:r>
      <w:r>
        <w:rPr>
          <w:rFonts w:ascii="Consolas" w:hAnsi="Consolas"/>
        </w:rPr>
        <w:t xml:space="preserve">Status Date Clause Operation.csv</w:t>
      </w:r>
      <w:r>
        <w:t xml:space="preserve">, reemplaza el correspondiente en la carpeta compartida y avisa al administrador de la aplicación (ver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B" w14:textId="77777777" w:rsidR="00AF2573" w:rsidRDefault="00000000">
      <w:pPr>
        <w:spacing w:after="160"/>
      </w:pPr>
      <w:proofErr w:type="spellStart"/>
      <w:proofErr w:type="spellEnd"/>
      <w:r>
        <w:rPr/>
        <w:t xml:space="preserve">Además de las hojas por operación, el archivo tiene una hoja </w:t>
      </w:r>
      <w:r>
        <w:rPr>
          <w:b/>
        </w:rPr>
        <w:t xml:space="preserve">Proyeccion</w:t>
      </w:r>
      <w:r>
        <w:rPr/>
        <w:t xml:space="preserve"> (ver "Proyección al cierre del año" abajo). Esa hoja no es una operación y no genera tarjeta propia.</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5D" w14:textId="77777777" w:rsidR="00AF2573" w:rsidRDefault="00000000">
      <w:pPr>
        <w:pStyle w:val="Heading2"/>
        <w:spacing w:before="240" w:after="120"/>
      </w:pPr>
      <w:r>
        <w:rPr/>
        <w:t xml:space="preserve">Proyección al cierre del año (hoja Proyeccion)</w:t>
      </w:r>
    </w:p>
    <w:p w14:paraId="28AC7E5B" w14:textId="77777777" w:rsidR="00AF2573" w:rsidRDefault="00000000">
      <w:pPr>
        <w:spacing w:after="160"/>
      </w:pPr>
      <w:proofErr w:type="spellStart"/>
      <w:proofErr w:type="spellEnd"/>
      <w:r>
        <w:rPr/>
        <w:t xml:space="preserve">La calificación oficial solo se genera en el ciclo de cierre de año (el ciclo con corte a junio tiene información parcial del año y no genera calificación). Por eso, el ciclo vigente sigue siendo el último cierre de año, y la proyección del informe de ciclo PMR más reciente se guarda aparte, en la hoja </w:t>
      </w:r>
      <w:r>
        <w:rPr>
          <w:b/>
        </w:rPr>
        <w:t xml:space="preserve">Proyeccion</w:t>
      </w:r>
      <w:r>
        <w:rPr/>
        <w:t xml:space="preserve"> de PMR_Historico.xlsx. Las hojas por operación guardan solo calificaciones oficiales de cierre de año.</w:t>
      </w:r>
    </w:p>
    <w:p w14:paraId="28AC7E5B" w14:textId="77777777" w:rsidR="00AF2573" w:rsidRDefault="00000000">
      <w:pPr>
        <w:spacing w:after="160"/>
      </w:pPr>
      <w:proofErr w:type="spellStart"/>
      <w:proofErr w:type="spellEnd"/>
      <w:r>
        <w:rPr/>
        <w:t xml:space="preserve">La hoja tiene el título en la fila 1, los encabezados en la fila 3 y una fila por operación desde la fila 4, con columnas: Operación | Corte del seguimiento | Fuente | Calificación sistema al corte (parcial) | SI al corte | Calificación proyectada cierre &lt;año&gt; | Condición / supuesto | ¿Mejora factible? | Comentarios de seguimiento | Plan de acción.</w:t>
      </w:r>
    </w:p>
    <w:p w14:paraId="28AC7E34" w14:textId="77777777" w:rsidR="00AF2573" w:rsidRDefault="00000000">
      <w:pPr>
        <w:pStyle w:val="ListParagraph"/>
        <w:numPr>
          <w:ilvl w:val="0"/>
          <w:numId w:val="8"/>
        </w:numPr>
        <w:spacing w:after="80"/>
      </w:pPr>
      <w:r>
        <w:rPr>
          <w:b/>
        </w:rPr>
        <w:t xml:space="preserve">Operación</w:t>
      </w:r>
      <w:r>
        <w:rPr/>
        <w:t xml:space="preserve"> usa el mismo código que el nombre de la hoja de la operación.</w:t>
      </w:r>
    </w:p>
    <w:p w14:paraId="28AC7E34" w14:textId="77777777" w:rsidR="00AF2573" w:rsidRDefault="00000000">
      <w:pPr>
        <w:pStyle w:val="ListParagraph"/>
        <w:numPr>
          <w:ilvl w:val="0"/>
          <w:numId w:val="8"/>
        </w:numPr>
        <w:spacing w:after="80"/>
      </w:pPr>
      <w:r>
        <w:rPr>
          <w:b/>
        </w:rPr>
        <w:t xml:space="preserve">Calificación proyectada cierre &lt;año&gt;</w:t>
      </w:r>
      <w:r>
        <w:rPr/>
        <w:t xml:space="preserve"> es la calificación más probable al cierre del año según el informe. El dashboard toma el año del encabezado de esta columna. Puede llevar una nota entre paréntesis, que la tarjeta muestra junto a la calificación (ej. "Satisfactorio (con override)"). Para operaciones finalizadas se escribe "Finalizado".</w:t>
      </w:r>
    </w:p>
    <w:p w14:paraId="28AC7E34" w14:textId="77777777" w:rsidR="00AF2573" w:rsidRDefault="00000000">
      <w:pPr>
        <w:pStyle w:val="ListParagraph"/>
        <w:numPr>
          <w:ilvl w:val="0"/>
          <w:numId w:val="8"/>
        </w:numPr>
        <w:spacing w:after="80"/>
      </w:pPr>
      <w:r>
        <w:rPr/>
        <w:t xml:space="preserve">Los días de etapa 1 (aprobación a vigencia o vigencia a elegibilidad) se mencionan en </w:t>
      </w:r>
      <w:r>
        <w:rPr>
          <w:b/>
        </w:rPr>
        <w:t xml:space="preserve">Comentarios de seguimiento</w:t>
      </w:r>
      <w:r>
        <w:rPr/>
        <w:t xml:space="preserve">; no tienen columna propia.</w:t>
      </w:r>
    </w:p>
    <w:p w14:paraId="28AC7E5B" w14:textId="77777777" w:rsidR="00AF2573" w:rsidRDefault="00000000">
      <w:pPr>
        <w:spacing w:after="160"/>
      </w:pPr>
      <w:proofErr w:type="spellStart"/>
      <w:proofErr w:type="spellEnd"/>
      <w:r>
        <w:rPr/>
        <w:t xml:space="preserve">Cada tarjeta con fila en Proyeccion muestra, arriba de los indicadores: la calificación vigente → la proyectada al cierre del año, la calificación que mostraba el sistema al corte (parcial, solo de referencia), la condición o supuesto y si la mejora es factible. Sus Comentarios de seguimiento y Plan de acción reemplazan en la tarjeta a los de la fila del ciclo vigente (que siguen guardados en el histórico). Si una operación no tiene fila en Proyeccion, su tarjeta se ve como antes. Debajo de los KPI del tab aparece una franja con la distribución proyectada, que no altera los KPI del ciclo vigente.</w:t>
      </w:r>
    </w:p>
    <w:p w14:paraId="28AC7E5B" w14:textId="77777777" w:rsidR="00AF2573" w:rsidRDefault="00000000">
      <w:pPr>
        <w:spacing w:after="160"/>
      </w:pPr>
      <w:proofErr w:type="spellStart"/>
      <w:proofErr w:type="spellEnd"/>
      <w:r>
        <w:rPr>
          <w:b/>
        </w:rPr>
        <w:t xml:space="preserve">Cómo actualizarla en cada informe de ciclo PMR:</w:t>
      </w:r>
    </w:p>
    <w:p w14:paraId="28AC7E5E" w14:textId="77777777" w:rsidR="00AF2573" w:rsidRDefault="00000000">
      <w:pPr>
        <w:pStyle w:val="ListParagraph"/>
        <w:numPr>
          <w:ilvl w:val="0"/>
          <w:numId w:val="16"/>
        </w:numPr>
        <w:spacing w:after="80"/>
      </w:pPr>
      <w:r>
        <w:rPr/>
        <w:t xml:space="preserve">Abre PMR_Historico.xlsx en la carpeta compartida y ve a la hoja Proyeccion.</w:t>
      </w:r>
    </w:p>
    <w:p w14:paraId="28AC7E5E" w14:textId="77777777" w:rsidR="00AF2573" w:rsidRDefault="00000000">
      <w:pPr>
        <w:pStyle w:val="ListParagraph"/>
        <w:numPr>
          <w:ilvl w:val="0"/>
          <w:numId w:val="16"/>
        </w:numPr>
        <w:spacing w:after="80"/>
      </w:pPr>
      <w:r>
        <w:rPr/>
        <w:t xml:space="preserve">Reemplaza las filas con los datos del nuevo informe (una por operación) y actualiza Corte del seguimiento y Fuente. Si cambia el año proyectado, cambia también el año en el encabezado de la columna F.</w:t>
      </w:r>
    </w:p>
    <w:p w14:paraId="28AC7E5E" w14:textId="77777777" w:rsidR="00AF2573" w:rsidRDefault="00000000">
      <w:pPr>
        <w:pStyle w:val="ListParagraph"/>
        <w:numPr>
          <w:ilvl w:val="0"/>
          <w:numId w:val="16"/>
        </w:numPr>
        <w:spacing w:after="80"/>
      </w:pPr>
      <w:r>
        <w:rPr/>
        <w:t xml:space="preserve">Cuando se cargue la fila oficial de cierre de año en la hoja de cada operación (ciclo de marzo), vacía las filas de Proyeccion o reemplázalas por la nueva proyección, para que la tarjeta no muestre una proyección ya superada. Avisa al administrador para que actualice el ciclo vigente en el dashboard.</w:t>
      </w:r>
    </w:p>
    <w:p w14:paraId="28AC7E5E" w14:textId="77777777" w:rsidR="00AF2573" w:rsidRDefault="00000000">
      <w:pPr>
        <w:pStyle w:val="ListParagraph"/>
        <w:numPr>
          <w:ilvl w:val="0"/>
          <w:numId w:val="16"/>
        </w:numPr>
        <w:spacing w:after="80"/>
      </w:pPr>
      <w:r>
        <w:rPr/>
        <w:t xml:space="preserve">Guarda el archivo actualizado en la carpeta compartida y avisa al administrador de la aplicación para que revise los cambios y los publique.</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 Si la operación tiene fila en la hoja Proyeccion, la tarjeta muestra también la calificación proyectada al cierre del año, con los comentarios y el plan de acción del último informe de ciclo PMR, y una franja bajo los KPI resume la distribución proyectada.</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Visor de adquisiciones (propuesta)</w:t>
      </w:r>
    </w:p>
    <w:p w14:paraId="28AC7E3D" w14:textId="77777777" w:rsidR="00AF2573" w:rsidRDefault="00000000">
      <w:pPr>
        <w:spacing w:after="160"/>
      </w:pPr>
      <w:r>
        <w:rPr>
          <w:b/>
        </w:rPr>
        <w:t>visor-adquisiciones.html</w:t>
      </w:r>
      <w:r>
        <w:t xml:space="preserve"> es una página aparte (no modifica el dashboard) que muestra los procesos de adquisición de cada operación como un diagrama de Gantt, a partir de los archivos de la subcarpeta clientportal (Raw Data + Contracts and Amendments). Se abre en aborbonm.github.io/torre-control-ccr/visor-adquisiciones.html y tiene un enlace de vuelta a la Torre de Control.</w:t>
      </w:r>
    </w:p>
    <w:p w14:paraId="28AC7E34" w14:textId="77777777" w:rsidR="00AF2573" w:rsidRDefault="00000000">
      <w:pPr>
        <w:pStyle w:val="ListParagraph"/>
        <w:numPr>
          <w:ilvl w:val="0"/>
          <w:numId w:val="8"/>
        </w:numPr>
        <w:spacing w:after="80"/>
      </w:pPr>
      <w:r>
        <w:rPr>
          <w:b/>
        </w:rPr>
        <w:t>Una barra por proceso</w:t>
      </w:r>
      <w:r>
        <w:t xml:space="preserve">, segmentada por fase según el hito que se busca cumplir: inicio / publicación, apertura de ofertas, evaluación, adjudicación y firma del contrato (hoja Hitos), más la </w:t>
      </w:r>
      <w:r>
        <w:rPr>
          <w:b/>
        </w:rPr>
        <w:t>ejecución del contrato</w:t>
      </w:r>
      <w:r>
        <w:t xml:space="preserve"> (de la firma al fin estimado vigente, con enmiendas; barra más delgada).</w:t>
      </w:r>
    </w:p>
    <w:p w14:paraId="28AC7E34" w14:textId="77777777" w:rsidR="00AF2573" w:rsidRDefault="00000000">
      <w:pPr>
        <w:pStyle w:val="ListParagraph"/>
        <w:numPr>
          <w:ilvl w:val="0"/>
          <w:numId w:val="8"/>
        </w:numPr>
        <w:spacing w:after="80"/>
      </w:pPr>
      <w:r>
        <w:t xml:space="preserve">La fecha de cada hito es la </w:t>
      </w:r>
      <w:r>
        <w:rPr>
          <w:b/>
        </w:rPr>
        <w:t>real</w:t>
      </w:r>
      <w:r>
        <w:t xml:space="preserve">; si no hay, la </w:t>
      </w:r>
      <w:r>
        <w:rPr>
          <w:b/>
        </w:rPr>
        <w:t>re-estimada</w:t>
      </w:r>
      <w:r>
        <w:t xml:space="preserve">; si no, la </w:t>
      </w:r>
      <w:r>
        <w:rPr>
          <w:b/>
        </w:rPr>
        <w:t>estimada</w:t>
      </w:r>
      <w:r>
        <w:t>. Los tramos cumplidos se ven sólidos y los estimados, rayados.</w:t>
      </w:r>
    </w:p>
    <w:p w14:paraId="28AC7E34" w14:textId="77777777" w:rsidR="00AF2573" w:rsidRDefault="00000000">
      <w:pPr>
        <w:pStyle w:val="ListParagraph"/>
        <w:numPr>
          <w:ilvl w:val="0"/>
          <w:numId w:val="8"/>
        </w:numPr>
        <w:spacing w:after="80"/>
      </w:pPr>
      <w:r>
        <w:t xml:space="preserve">Un hito con fecha estimada vencida y sin fecha real se marca como </w:t>
      </w:r>
      <w:r>
        <w:rPr>
          <w:b/>
        </w:rPr>
        <w:t>atraso</w:t>
      </w:r>
      <w:r>
        <w:t xml:space="preserve"> (anillo rojo en el hito y línea punteada roja hasta hoy).</w:t>
      </w:r>
    </w:p>
    <w:p w14:paraId="28AC7E34" w14:textId="77777777" w:rsidR="00AF2573" w:rsidRDefault="00000000">
      <w:pPr>
        <w:pStyle w:val="ListParagraph"/>
        <w:numPr>
          <w:ilvl w:val="0"/>
          <w:numId w:val="8"/>
        </w:numPr>
        <w:spacing w:after="80"/>
      </w:pPr>
      <w:r>
        <w:t>Filtros por operación, etapa (previstos, en curso, contrato en ejecución, cerrados), solo adquisiciones críticas (según productos_adquisiciones), rango de tiempo y búsqueda. Al hacer clic en un proceso se despliega la tabla de sus hitos y sus contratos.</w:t>
      </w:r>
    </w:p>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visor-adquisiciones.html</w:t>
            </w:r>
          </w:p>
        </w:tc>
        <w:tc>
          <w:tcPr>
            <w:tcW w:w="6084" w:type="dxa"/>
            <w:tcMar>
              <w:top w:w="80" w:type="dxa"/>
              <w:left w:w="100" w:type="dxa"/>
              <w:bottom w:w="80" w:type="dxa"/>
              <w:right w:w="100" w:type="dxa"/>
            </w:tcMar>
          </w:tcPr>
          <w:p w14:paraId="28AC7ED0" w14:textId="77777777" w:rsidR="00AF2573" w:rsidRDefault="00000000">
            <w:proofErr w:type="spellStart"/>
            <w:r>
              <w:t>Propuesta de visor Gantt de procesos de adquisición (ver "Visor de adquisiciones (propuesta)").</w:t>
            </w:r>
            <w:proofErr w:type="spellEnd"/>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 llega cada lunes por suscripción y lo copia un flujo de Power Automate).</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 Incluye además la hoja Proyeccion con la calificación proyectada al cierre del año.</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 w:numId="15">
    <w:abstractNumId w:val="4"/>
    <w:lvlOverride w:ilvl="0">
      <w:startOverride w:val="1"/>
    </w:lvlOverride>
  </w:num>
  <w:num w:numId="1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