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w:t>
      </w:r>
    </w:p>
    <w:p w14:paraId="28AC7E18" w14:textId="77777777" w:rsidR="00AF2573" w:rsidRDefault="00000000">
      <w:pPr>
        <w:pStyle w:val="ListParagraph"/>
        <w:numPr>
          <w:ilvl w:val="0"/>
          <w:numId w:val="8"/>
        </w:numPr>
        <w:spacing w:after="80"/>
      </w:pPr>
      <w:r>
        <w:rPr>
          <w:rFonts w:ascii="Consolas" w:eastAsia="Consolas" w:hAnsi="Consolas" w:cs="Consolas"/>
          <w:b/>
          <w:bCs/>
        </w:rPr>
        <w:t>clientportal/Raw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clientportal/Contracts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14:paraId="28AC7E31" w14:textId="77777777" w:rsidR="00AF2573" w:rsidRDefault="00000000">
      <w:pPr>
        <w:spacing w:after="160"/>
      </w:pPr>
      <w:r>
        <w:t>Una vez descargado, se reemplaza el archivo correspondiente en la carpeta compartida siguiendo los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dentro de la subcarpeta clientportal de la carpeta compartida (no en la carpeta principal),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dentro de la subcarpeta clientportal de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 Los Raw Data y Contracts and Amendments están dentro de la subcarpeta clientportal.</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subcarpeta clientportal de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subcarpeta clientportal de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Visor de adquisiciones (propuesta)</w:t>
      </w:r>
    </w:p>
    <w:p w14:paraId="28AC7E3D" w14:textId="77777777" w:rsidR="00AF2573" w:rsidRDefault="00000000">
      <w:pPr>
        <w:spacing w:after="160"/>
      </w:pPr>
      <w:r>
        <w:rPr>
          <w:b/>
        </w:rPr>
        <w:t>visor-adquisiciones.html</w:t>
      </w:r>
      <w:r>
        <w:t xml:space="preserve"> es una página aparte (no modifica el dashboard) que muestra los procesos de adquisición de cada operación como un diagrama de Gantt, a partir de los archivos de la subcarpeta clientportal (Raw Data + Contracts and Amendments). Se abre en aborbonm.github.io/torre-control-ccr/visor-adquisiciones.html y tiene un enlace de vuelta a la Torre de Control.</w:t>
      </w:r>
    </w:p>
    <w:p w14:paraId="28AC7E34" w14:textId="77777777" w:rsidR="00AF2573" w:rsidRDefault="00000000">
      <w:pPr>
        <w:pStyle w:val="ListParagraph"/>
        <w:numPr>
          <w:ilvl w:val="0"/>
          <w:numId w:val="8"/>
        </w:numPr>
        <w:spacing w:after="80"/>
      </w:pPr>
      <w:r>
        <w:rPr>
          <w:b/>
        </w:rPr>
        <w:t>Una barra por proceso</w:t>
      </w:r>
      <w:r>
        <w:t xml:space="preserve">, segmentada por fase según el hito que se busca cumplir: inicio / publicación, apertura de ofertas, evaluación, adjudicación y firma del contrato (hoja Hitos), más la </w:t>
      </w:r>
      <w:r>
        <w:rPr>
          <w:b/>
        </w:rPr>
        <w:t>ejecución del contrato</w:t>
      </w:r>
      <w:r>
        <w:t xml:space="preserve"> (de la firma al fin estimado vigente, con enmiendas; barra más delgada).</w:t>
      </w:r>
    </w:p>
    <w:p w14:paraId="28AC7E34" w14:textId="77777777" w:rsidR="00AF2573" w:rsidRDefault="00000000">
      <w:pPr>
        <w:pStyle w:val="ListParagraph"/>
        <w:numPr>
          <w:ilvl w:val="0"/>
          <w:numId w:val="8"/>
        </w:numPr>
        <w:spacing w:after="80"/>
      </w:pPr>
      <w:r>
        <w:t xml:space="preserve">La fecha de cada hito es la </w:t>
      </w:r>
      <w:r>
        <w:rPr>
          <w:b/>
        </w:rPr>
        <w:t>real</w:t>
      </w:r>
      <w:r>
        <w:t xml:space="preserve">; si no hay, la </w:t>
      </w:r>
      <w:r>
        <w:rPr>
          <w:b/>
        </w:rPr>
        <w:t>re-estimada</w:t>
      </w:r>
      <w:r>
        <w:t xml:space="preserve">; si no, la </w:t>
      </w:r>
      <w:r>
        <w:rPr>
          <w:b/>
        </w:rPr>
        <w:t>estimada</w:t>
      </w:r>
      <w:r>
        <w:t>. Los tramos cumplidos se ven sólidos y los estimados, rayados.</w:t>
      </w:r>
    </w:p>
    <w:p w14:paraId="28AC7E34" w14:textId="77777777" w:rsidR="00AF2573" w:rsidRDefault="00000000">
      <w:pPr>
        <w:pStyle w:val="ListParagraph"/>
        <w:numPr>
          <w:ilvl w:val="0"/>
          <w:numId w:val="8"/>
        </w:numPr>
        <w:spacing w:after="80"/>
      </w:pPr>
      <w:r>
        <w:t xml:space="preserve">Un hito con fecha estimada vencida y sin fecha real se marca como </w:t>
      </w:r>
      <w:r>
        <w:rPr>
          <w:b/>
        </w:rPr>
        <w:t>atraso</w:t>
      </w:r>
      <w:r>
        <w:t xml:space="preserve"> (anillo rojo en el hito y línea punteada roja hasta hoy).</w:t>
      </w:r>
    </w:p>
    <w:p w14:paraId="28AC7E34" w14:textId="77777777" w:rsidR="00AF2573" w:rsidRDefault="00000000">
      <w:pPr>
        <w:pStyle w:val="ListParagraph"/>
        <w:numPr>
          <w:ilvl w:val="0"/>
          <w:numId w:val="8"/>
        </w:numPr>
        <w:spacing w:after="80"/>
      </w:pPr>
      <w:r>
        <w:t>Filtros por operación, etapa (previstos, en curso, contrato en ejecución, cerrados), solo adquisiciones críticas (según productos_adquisiciones), rango de tiempo y búsqueda. Al hacer clic en un proceso se despliega la tabla de sus hitos y sus contratos.</w:t>
      </w:r>
    </w:p>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visor-adquisiciones.html</w:t>
            </w:r>
          </w:p>
        </w:tc>
        <w:tc>
          <w:tcPr>
            <w:tcW w:w="6084" w:type="dxa"/>
            <w:tcMar>
              <w:top w:w="80" w:type="dxa"/>
              <w:left w:w="100" w:type="dxa"/>
              <w:bottom w:w="80" w:type="dxa"/>
              <w:right w:w="100" w:type="dxa"/>
            </w:tcMar>
          </w:tcPr>
          <w:p w14:paraId="28AC7ED0" w14:textId="77777777" w:rsidR="00AF2573" w:rsidRDefault="00000000">
            <w:proofErr w:type="spellStart"/>
            <w:r>
              <w:t>Propuesta de visor Gantt de procesos de adquisición (ver "Visor de adquisiciones (propuesta)").</w:t>
            </w:r>
            <w:proofErr w:type="spellEnd"/>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clientportal/</w:t>
            </w:r>
          </w:p>
        </w:tc>
        <w:tc>
          <w:tcPr>
            <w:tcW w:w="6084" w:type="dxa"/>
            <w:tcMar>
              <w:top w:w="80" w:type="dxa"/>
              <w:left w:w="100" w:type="dxa"/>
              <w:bottom w:w="80" w:type="dxa"/>
              <w:right w:w="100" w:type="dxa"/>
            </w:tcMar>
          </w:tcPr>
          <w:p w14:paraId="28AC7EDF" w14:textId="77777777" w:rsidR="00AF2573" w:rsidRDefault="00000000">
            <w:r>
              <w:t>Subcarpeta que concentra los archivos descargados del Portal de Cliente del BID (Raw Data y Contracts and Amendments). El dashboard los busca solo aquí.</w:t>
            </w:r>
            <w:proofErr w:type="spellStart"/>
            <w:proofErr w:type="spellEnd"/>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pmr reports/</w:t>
            </w:r>
          </w:p>
        </w:tc>
        <w:tc>
          <w:tcPr>
            <w:tcW w:w="6084" w:type="dxa"/>
            <w:tcMar>
              <w:top w:w="80" w:type="dxa"/>
              <w:left w:w="100" w:type="dxa"/>
              <w:bottom w:w="80" w:type="dxa"/>
              <w:right w:w="100" w:type="dxa"/>
            </w:tcMar>
          </w:tcPr>
          <w:p w14:paraId="28AC7EDF" w14:textId="77777777" w:rsidR="00AF2573" w:rsidRDefault="00000000">
            <w:r>
              <w:t>Insumos base del PMR (reportes operativos en PDF, simuladores PMR en Excel e informes de ciclo en Word) para el proceso de actualización del PMR. El dashboard no lee esta carpeta.</w:t>
            </w:r>
            <w:proofErr w:type="spellStart"/>
            <w:proofErr w:type="spellEnd"/>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