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b w:val="false"/>
          <w:bCs w:val="false"/>
          <w:i/>
          <w:iCs/>
          <w:color w:val="666666"/>
        </w:rPr>
        <w:t xml:space="preserve">Documento de referencia generado a partir de README.md del repositorio. </w:t>
      </w:r>
      <w:r>
        <w:rPr>
          <w:rFonts w:ascii="Calibri" w:cs="Calibri" w:eastAsia="Calibri" w:hAnsi="Calibri"/>
          <w:b/>
          <w:bCs/>
          <w:i/>
          <w:iCs/>
          <w:color w:val="666666"/>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mpixq1tdvmcd6-mol0kvm">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1"/>
        </w:numPr>
        <w:spacing w:after="80"/>
      </w:pPr>
      <w:r>
        <w:rPr>
          <w:rFonts w:ascii="Consolas" w:cs="Consolas" w:eastAsia="Consolas" w:hAnsi="Consolas"/>
          <w:b/>
          <w:bCs/>
          <w:i w:val="false"/>
          <w:iCs w:val="false"/>
        </w:rPr>
        <w:t xml:space="preserve">torre_de_control_CCR.xlsx</w:t>
      </w:r>
      <w:r>
        <w:rPr>
          <w:rFonts w:ascii="Calibri" w:cs="Calibri" w:eastAsia="Calibri" w:hAnsi="Calibri"/>
        </w:rPr>
        <w:t xml:space="preserve"> — contiene información de productos críticos, adquisiciones críticas, equipo, documentos, resultados, comentarios de cláusulas y change log.</w:t>
      </w:r>
    </w:p>
    <w:p>
      <w:pPr>
        <w:pStyle w:val="ListParagraph"/>
        <w:numPr>
          <w:ilvl w:val="0"/>
          <w:numId w:val="1"/>
        </w:numPr>
        <w:spacing w:after="80"/>
      </w:pPr>
      <w:r>
        <w:rPr>
          <w:rFonts w:ascii="Consolas" w:cs="Consolas" w:eastAsia="Consolas" w:hAnsi="Consolas"/>
          <w:b/>
          <w:bCs/>
          <w:i w:val="false"/>
          <w:iCs w:val="false"/>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1"/>
        </w:numPr>
        <w:spacing w:after="80"/>
      </w:pPr>
      <w:r>
        <w:rPr>
          <w:rFonts w:ascii="Consolas" w:cs="Consolas" w:eastAsia="Consolas" w:hAnsi="Consolas"/>
          <w:b/>
          <w:bCs/>
          <w:i w:val="false"/>
          <w:iCs w:val="false"/>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1"/>
        </w:numPr>
        <w:spacing w:after="80"/>
      </w:pPr>
      <w:r>
        <w:rPr>
          <w:rFonts w:ascii="Consolas" w:cs="Consolas" w:eastAsia="Consolas" w:hAnsi="Consolas"/>
          <w:b/>
          <w:bCs/>
          <w:i w:val="false"/>
          <w:iCs w:val="false"/>
        </w:rPr>
        <w:t xml:space="preserve">PMR_Historico.xlsx</w:t>
      </w:r>
      <w:r>
        <w:rPr>
          <w:rFonts w:ascii="Calibri" w:cs="Calibri" w:eastAsia="Calibri" w:hAnsi="Calibri"/>
        </w:rPr>
        <w:t xml:space="preserve"> — fuente única del tab PMR (calificaciones, indicadores y ciclos históricos). Sin este archivo el tab PMR no muestra tarjetas, pero el resto del dashboard sigue funcionando igual. Ver la sección "Datos de PMR por operación".</w:t>
      </w:r>
    </w:p>
    <w:p>
      <w:pPr>
        <w:pStyle w:val="ListParagraph"/>
        <w:numPr>
          <w:ilvl w:val="0"/>
          <w:numId w:val="1"/>
        </w:numPr>
        <w:spacing w:after="80"/>
      </w:pPr>
      <w:r>
        <w:rPr>
          <w:rFonts w:ascii="Consolas" w:cs="Consolas" w:eastAsia="Consolas" w:hAnsi="Consolas"/>
          <w:b/>
          <w:bCs/>
          <w:i w:val="false"/>
          <w:iCs w:val="false"/>
        </w:rPr>
        <w:t xml:space="preserve">agreement_report.xlsx</w:t>
      </w:r>
      <w:r>
        <w:rPr>
          <w:rFonts w:ascii="Calibri" w:cs="Calibri" w:eastAsia="Calibri" w:hAnsi="Calibri"/>
        </w:rPr>
        <w:t xml:space="preserve"> — fuente única del tab Acuerdos (acuerdos de las Revisiones de Cartera del BID). Sin este archivo el tab Acuerdos no muestra datos, pero el resto del dashboard sigue funcionando igual. Ver la sección "Acuerdos de Revisión de Cartera".</w:t>
      </w:r>
    </w:p>
    <w:p>
      <w:pPr>
        <w:spacing w:after="160"/>
      </w:pPr>
      <w:r>
        <w:rPr>
          <w:rFonts w:ascii="Calibri" w:cs="Calibri" w:eastAsia="Calibri" w:hAnsi="Calibri"/>
        </w:rPr>
        <w:t>Los archivos se leen directamente desde la rama main del repositorio de GitHub (raw.githubusercontent.com). No se requiere instalación ni configuración de parte de quien consulta el dashboard — basta con abrir el link. Solo torre_de_control_CCR.xlsx es obligatorio: si no se puede cargar (y no hay caché), la app muestra una pantalla de error; si falta cualquiera de los demás archivos, solo queda vacío el tab correspondiente.</w:t>
      </w:r>
    </w:p>
    <w:p>
      <w:pPr>
        <w:spacing w:after="160"/>
      </w:pPr>
      <w:r>
        <w:rPr>
          <w:rFonts w:ascii="Calibri" w:cs="Calibri" w:eastAsia="Calibri" w:hAnsi="Calibri"/>
        </w:rPr>
        <w:t>Los datos se guardan en caché local (IndexedDB) para que la página cargue instantáneamente. Al abrir la app, se muestra la versión en caché y se actualiza en segundo plano. En el encabezado:</w:t>
      </w:r>
    </w:p>
    <w:p>
      <w:pPr>
        <w:pStyle w:val="ListParagraph"/>
        <w:numPr>
          <w:ilvl w:val="0"/>
          <w:numId w:val="1"/>
        </w:numPr>
        <w:spacing w:after="80"/>
      </w:pPr>
      <w:r>
        <w:rPr>
          <w:rFonts w:ascii="Calibri" w:cs="Calibri" w:eastAsia="Calibri" w:hAnsi="Calibri"/>
        </w:rPr>
        <w:t>Rev: &lt;fecha&gt; — fecha de la última actualización de la app (index.html).</w:t>
      </w:r>
    </w:p>
    <w:p>
      <w:pPr>
        <w:pStyle w:val="ListParagraph"/>
        <w:numPr>
          <w:ilvl w:val="0"/>
          <w:numId w:val="1"/>
        </w:numPr>
        <w:spacing w:after="80"/>
      </w:pPr>
      <w:r>
        <w:rPr>
          <w:rFonts w:ascii="Calibri" w:cs="Calibri" w:eastAsia="Calibri" w:hAnsi="Calibri"/>
        </w:rPr>
        <w:t>Datos: &lt;fecha&gt; — fecha de la última actualización de torre_de_control_CCR.xlsx en el repositorio (es decir, del último commit realizado por el administrador). Si la consulta falla, se usa la última fecha guardada en caché.</w:t>
      </w:r>
    </w:p>
    <w:p>
      <w:pPr>
        <w:pStyle w:val="ListParagraph"/>
        <w:numPr>
          <w:ilvl w:val="0"/>
          <w:numId w:val="1"/>
        </w:numPr>
        <w:spacing w:after="80"/>
      </w:pPr>
      <w:r>
        <w:rPr>
          <w:rFonts w:ascii="Calibri" w:cs="Calibri" w:eastAsia="Calibri" w:hAnsi="Calibri"/>
        </w:rPr>
        <w:t>"Actualizar Datos" — fuerza una recarga inmediata de todos los archivos.</w:t>
      </w:r>
    </w:p>
    <w:p>
      <w:pPr>
        <w:pStyle w:val="ListParagraph"/>
        <w:numPr>
          <w:ilvl w:val="0"/>
          <w:numId w:val="1"/>
        </w:numPr>
        <w:spacing w:after="80"/>
      </w:pPr>
      <w:r>
        <w:rPr>
          <w:rFonts w:ascii="Calibri" w:cs="Calibri" w:eastAsia="Calibri" w:hAnsi="Calibri"/>
        </w:rPr>
        <w:t>"Limpiar cache" — borra la caché local (aparece cuando hay datos en caché).</w:t>
      </w:r>
    </w:p>
    <w:p>
      <w:pPr>
        <w:pStyle w:val="Heading1"/>
        <w:spacing w:after="160" w:before="320"/>
      </w:pPr>
      <w:r>
        <w:t xml:space="preserve">Cómo actualizar los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FF3CD" w:val="clear"/>
            <w:tcMar>
              <w:top w:type="dxa" w:w="140"/>
              <w:left w:type="dxa" w:w="160"/>
              <w:bottom w:type="dxa" w:w="140"/>
              <w:right w:type="dxa" w:w="160"/>
            </w:tcMar>
          </w:tcPr>
          <w:p>
            <w:pPr>
              <w:spacing w:after="0"/>
            </w:pPr>
            <w:r>
              <w:rPr>
                <w:rFonts w:ascii="Calibri" w:cs="Calibri" w:eastAsia="Calibri" w:hAnsi="Calibri"/>
                <w:b/>
                <w:bCs/>
                <w:i/>
                <w:iCs/>
              </w:rPr>
              <w:t xml:space="preserve">Importante: </w:t>
            </w:r>
            <w:r>
              <w:rPr>
                <w:rFonts w:ascii="Calibri" w:cs="Calibri" w:eastAsia="Calibri" w:hAnsi="Calibri"/>
                <w:b w:val="false"/>
                <w:bCs w:val="false"/>
                <w:i/>
                <w:iCs/>
              </w:rPr>
              <w:t xml:space="preserve">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tc>
      </w:tr>
    </w:tbl>
    <w:p>
      <w:pPr>
        <w:spacing w:after="160"/>
      </w:pPr>
      <w:r>
        <w:rPr>
          <w:rFonts w:ascii="Calibri" w:cs="Calibri" w:eastAsia="Calibri" w:hAnsi="Calibri"/>
        </w:rPr>
        <w:t xml:space="preserve"/>
      </w:r>
    </w:p>
    <w:p>
      <w:pPr>
        <w:pStyle w:val="Heading2"/>
        <w:spacing w:after="120" w:before="24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1"/>
        </w:numPr>
        <w:spacing w:after="80"/>
      </w:pPr>
      <w:r>
        <w:rPr>
          <w:rFonts w:ascii="Calibri" w:cs="Calibri" w:eastAsia="Calibri" w:hAnsi="Calibri"/>
        </w:rPr>
        <w:t xml:space="preserve">No cambiar el nombre de las hojas</w:t>
      </w:r>
    </w:p>
    <w:p>
      <w:pPr>
        <w:pStyle w:val="ListParagraph"/>
        <w:numPr>
          <w:ilvl w:val="0"/>
          <w:numId w:val="1"/>
        </w:numPr>
        <w:spacing w:after="80"/>
      </w:pPr>
      <w:r>
        <w:rPr>
          <w:rFonts w:ascii="Calibri" w:cs="Calibri" w:eastAsia="Calibri" w:hAnsi="Calibri"/>
        </w:rPr>
        <w:t xml:space="preserve">No cambiar el orden ni el nombre de las columnas</w:t>
      </w:r>
    </w:p>
    <w:p>
      <w:pPr>
        <w:pStyle w:val="ListParagraph"/>
        <w:numPr>
          <w:ilvl w:val="0"/>
          <w:numId w:val="1"/>
        </w:numPr>
        <w:spacing w:after="80"/>
      </w:pPr>
      <w:r>
        <w:rPr>
          <w:rFonts w:ascii="Calibri" w:cs="Calibri" w:eastAsia="Calibri" w:hAnsi="Calibri"/>
        </w:rPr>
        <w:t>En la hoja productos criticos, la columna Estado debe ser uno de: "Logrado", "En tiempo", "Retrasado" o "Pausado"</w:t>
      </w:r>
    </w:p>
    <w:p>
      <w:pPr>
        <w:pStyle w:val="ListParagraph"/>
        <w:numPr>
          <w:ilvl w:val="0"/>
          <w:numId w:val="1"/>
        </w:numPr>
        <w:spacing w:after="80"/>
      </w:pPr>
      <w:r>
        <w:rPr>
          <w:rFonts w:ascii="Calibri" w:cs="Calibri" w:eastAsia="Calibri" w:hAnsi="Calibri"/>
        </w:rPr>
        <w:t>En la hoja resultados, la columna Probabilidad_Logro debe ser "Alta", "Media" o "Baja"</w:t>
      </w:r>
    </w:p>
    <w:p>
      <w:pPr>
        <w:pStyle w:val="ListParagraph"/>
        <w:numPr>
          <w:ilvl w:val="0"/>
          <w:numId w:val="1"/>
        </w:numPr>
        <w:spacing w:after="80"/>
      </w:pPr>
      <w:r>
        <w:rPr>
          <w:rFonts w:ascii="Calibri" w:cs="Calibri" w:eastAsia="Calibri" w:hAnsi="Calibri"/>
        </w:rPr>
        <w:t>Los enlaces de la hoja documentos se toman del texto de la columna URL (no de hipervínculos insertados en la celda)</w:t>
      </w:r>
    </w:p>
    <w:p>
      <w:pPr>
        <w:pStyle w:val="ListParagraph"/>
        <w:numPr>
          <w:ilvl w:val="0"/>
          <w:numId w:val="1"/>
        </w:numPr>
        <w:spacing w:after="80"/>
      </w:pPr>
      <w:r>
        <w:rPr>
          <w:rFonts w:ascii="Calibri" w:cs="Calibri" w:eastAsia="Calibri" w:hAnsi="Calibri"/>
        </w:rPr>
        <w:t xml:space="preserve">La hoja comentarios_clausulas permite registrar comentarios sobre cláusulas vencidas (ver sección abajo)</w:t>
      </w:r>
    </w:p>
    <w:p>
      <w:pPr>
        <w:pStyle w:val="Heading2"/>
        <w:spacing w:after="120" w:before="24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1"/>
        </w:numPr>
        <w:spacing w:after="80"/>
      </w:pPr>
      <w:r>
        <w:rPr>
          <w:rFonts w:ascii="Calibri" w:cs="Calibri" w:eastAsia="Calibri" w:hAnsi="Calibri"/>
          <w:b/>
          <w:bCs/>
          <w:i w:val="false"/>
          <w:iCs w:val="false"/>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1"/>
        </w:numPr>
        <w:spacing w:after="80"/>
      </w:pPr>
      <w:r>
        <w:rPr>
          <w:rFonts w:ascii="Calibri" w:cs="Calibri" w:eastAsia="Calibri" w:hAnsi="Calibri"/>
          <w:b/>
          <w:bCs/>
          <w:i w:val="false"/>
          <w:iCs w:val="false"/>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20" w:before="24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1"/>
        </w:numPr>
        <w:spacing w:after="80"/>
      </w:pPr>
      <w:r>
        <w:rPr>
          <w:rFonts w:ascii="Calibri" w:cs="Calibri" w:eastAsia="Calibri" w:hAnsi="Calibri"/>
        </w:rPr>
        <w:t xml:space="preserve">Entra a la operación correspondiente y haz clic en el enlace de descarga de esa data.</w:t>
      </w:r>
    </w:p>
    <w:p>
      <w:pPr>
        <w:pStyle w:val="ListParagraph"/>
        <w:numPr>
          <w:ilvl w:val="0"/>
          <w:numId w:val="1"/>
        </w:numPr>
        <w:spacing w:after="8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1"/>
        </w:numPr>
        <w:spacing w:after="80"/>
      </w:pPr>
      <w:r>
        <w:rPr>
          <w:rFonts w:ascii="Calibri" w:cs="Calibri" w:eastAsia="Calibri" w:hAnsi="Calibri"/>
        </w:rPr>
        <w:t xml:space="preserve">Reemplaza el archivo en la carpeta compartida </w:t>
      </w:r>
      <w:r>
        <w:rPr>
          <w:rFonts w:ascii="Calibri" w:cs="Calibri" w:eastAsia="Calibri" w:hAnsi="Calibri"/>
          <w:b/>
          <w:bCs/>
          <w:i w:val="false"/>
          <w:iCs w:val="false"/>
        </w:rPr>
        <w:t xml:space="preserve">sin modificar nada del raw data</w:t>
      </w:r>
      <w:r>
        <w:rPr>
          <w:rFonts w:ascii="Calibri" w:cs="Calibri" w:eastAsia="Calibri" w:hAnsi="Calibri"/>
        </w:rPr>
        <w:t xml:space="preserve">.</w:t>
      </w:r>
    </w:p>
    <w:p>
      <w:pPr>
        <w:pStyle w:val="Heading2"/>
        <w:spacing w:after="120" w:before="240"/>
      </w:pPr>
      <w:r>
        <w:t xml:space="preserve">Pasos para actualizar archivos</w:t>
      </w:r>
    </w:p>
    <w:p>
      <w:pPr>
        <w:pStyle w:val="ListParagraph"/>
        <w:numPr>
          <w:ilvl w:val="0"/>
          <w:numId w:val="2"/>
        </w:numPr>
        <w:spacing w:after="8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2"/>
        </w:numPr>
        <w:spacing w:after="8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2"/>
        </w:numPr>
        <w:spacing w:after="8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3"/>
        </w:numPr>
        <w:spacing w:after="80"/>
      </w:pPr>
      <w:r>
        <w:rPr>
          <w:rFonts w:ascii="Consolas" w:cs="Consolas" w:eastAsia="Consolas" w:hAnsi="Consolas"/>
          <w:b/>
          <w:bCs/>
          <w:i w:val="false"/>
          <w:iCs w:val="false"/>
        </w:rPr>
        <w:t xml:space="preserve">Hoja productos_adquisiciones</w:t>
      </w:r>
      <w:r>
        <w:rPr>
          <w:rFonts w:ascii="Calibri" w:cs="Calibri" w:eastAsia="Calibri" w:hAnsi="Calibri"/>
        </w:rPr>
        <w:t xml:space="preserve"> (en torre_de_control_CCR.xlsx): relaciona cada producto crítico con el o los procesos de adquisición asociados. Columnas: Operacion | Producto_Critico | ID_Proceso | Adquisicion_Critica | Riesgos_Comentarios.</w:t>
      </w:r>
    </w:p>
    <w:p>
      <w:pPr>
        <w:pStyle w:val="ListParagraph"/>
        <w:numPr>
          <w:ilvl w:val="1"/>
          <w:numId w:val="1"/>
        </w:numPr>
        <w:spacing w:after="80"/>
      </w:pPr>
      <w:r>
        <w:rPr>
          <w:rFonts w:ascii="Calibri" w:cs="Calibri" w:eastAsia="Calibri" w:hAnsi="Calibri"/>
        </w:rPr>
        <w:t xml:space="preserve">Producto_Critico debe coincidir exactamente con el texto de la columna Producto Crítico de la hoja productos criticos.</w:t>
      </w:r>
    </w:p>
    <w:p>
      <w:pPr>
        <w:pStyle w:val="ListParagraph"/>
        <w:numPr>
          <w:ilvl w:val="1"/>
          <w:numId w:val="1"/>
        </w:numPr>
        <w:spacing w:after="80"/>
      </w:pPr>
      <w:r>
        <w:rPr>
          <w:rFonts w:ascii="Calibri" w:cs="Calibri" w:eastAsia="Calibri" w:hAnsi="Calibri"/>
        </w:rPr>
        <w:t xml:space="preserve">Adquisicion_Critica = "Sí" marca esa fila como la adquisición crítica a mostrar en el tab; "No" la deja registrada pero oculta (por ejemplo, procesos de apoyo o de menor monto que no ameritan seguimiento destacado).</w:t>
      </w:r>
    </w:p>
    <w:p>
      <w:pPr>
        <w:pStyle w:val="ListParagraph"/>
        <w:numPr>
          <w:ilvl w:val="1"/>
          <w:numId w:val="1"/>
        </w:numPr>
        <w:spacing w:after="80"/>
      </w:pPr>
      <w:r>
        <w:rPr>
          <w:rFonts w:ascii="Calibri" w:cs="Calibri" w:eastAsia="Calibri" w:hAnsi="Calibri"/>
        </w:rPr>
        <w:t xml:space="preserve">Riesgos_Comentarios solo debería llenarse en filas "Sí" — es lo que se muestra en el popup de detalle de esa adquisición.</w:t>
      </w:r>
    </w:p>
    <w:p>
      <w:pPr>
        <w:pStyle w:val="ListParagraph"/>
        <w:numPr>
          <w:ilvl w:val="0"/>
          <w:numId w:val="3"/>
        </w:numPr>
        <w:spacing w:after="80"/>
      </w:pPr>
      <w:r>
        <w:rPr>
          <w:rFonts w:ascii="Consolas" w:cs="Consolas" w:eastAsia="Consolas" w:hAnsi="Consolas"/>
          <w:b/>
          <w:bCs/>
          <w:i w:val="false"/>
          <w:iCs w:val="false"/>
        </w:rPr>
        <w:t xml:space="preserve">Archivos Raw Data - &lt;préstamo&gt;.xlsx</w:t>
      </w:r>
      <w:r>
        <w:rPr>
          <w:rFonts w:ascii="Calibri" w:cs="Calibri" w:eastAsia="Calibri" w:hAnsi="Calibri"/>
        </w:rPr>
        <w:t xml:space="preserve"> (uno por operación, en la carpeta compartida): exportados del portal de cliente del BID (reporte "Plan de Adquisiciones"). El dashboard usa la hoja Plan de Adquisiciones de cada archivo para obtener el nombre, monto estimado, estado del proceso y método de adquisición de cada ID_Proceso.</w:t>
      </w:r>
    </w:p>
    <w:p>
      <w:pPr>
        <w:pStyle w:val="ListParagraph"/>
        <w:numPr>
          <w:ilvl w:val="1"/>
          <w:numId w:val="1"/>
        </w:numPr>
        <w:spacing w:after="80"/>
      </w:pPr>
      <w:r>
        <w:rPr>
          <w:rFonts w:ascii="Calibri" w:cs="Calibri" w:eastAsia="Calibri" w:hAnsi="Calibri"/>
          <w:b/>
          <w:bCs/>
          <w:i w:val="false"/>
          <w:iCs w:val="false"/>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20" w:before="240"/>
      </w:pPr>
      <w:r>
        <w:t xml:space="preserve">Cómo agregar el raw data de una operación nueva</w:t>
      </w:r>
    </w:p>
    <w:p>
      <w:pPr>
        <w:pStyle w:val="ListParagraph"/>
        <w:numPr>
          <w:ilvl w:val="0"/>
          <w:numId w:val="4"/>
        </w:numPr>
        <w:spacing w:after="80"/>
      </w:pPr>
      <w:r>
        <w:rPr>
          <w:rFonts w:ascii="Calibri" w:cs="Calibri" w:eastAsia="Calibri" w:hAnsi="Calibri"/>
        </w:rPr>
        <w:t xml:space="preserve">Coloca el archivo Raw Data - &lt;préstamo&gt;.xlsx en la carpeta compartida, con el nombre exacto según la convención de arriba, y avisa al administrador (mismos pasos de "Pasos para actualizar archivos").</w:t>
      </w:r>
    </w:p>
    <w:p>
      <w:pPr>
        <w:pStyle w:val="ListParagraph"/>
        <w:numPr>
          <w:ilvl w:val="0"/>
          <w:numId w:val="4"/>
        </w:numPr>
        <w:spacing w:after="80"/>
      </w:pPr>
      <w:r>
        <w:rPr>
          <w:rFonts w:ascii="Calibri" w:cs="Calibri" w:eastAsia="Calibri" w:hAnsi="Calibri"/>
        </w:rPr>
        <w:t xml:space="preserve">En productos_adquisiciones, agrega una fila por cada (producto crítico, proceso) que quieras asociar, indicando "Sí"/"No" en Adquisicion_Critica y, si aplica, el riesgo en Riesgos_Comentarios (solo en filas "Sí").</w:t>
      </w:r>
    </w:p>
    <w:p>
      <w:pPr>
        <w:pStyle w:val="ListParagraph"/>
        <w:numPr>
          <w:ilvl w:val="0"/>
          <w:numId w:val="4"/>
        </w:numPr>
        <w:spacing w:after="8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Datos de PMR por operación</w:t>
      </w:r>
    </w:p>
    <w:p>
      <w:pPr>
        <w:spacing w:after="160"/>
      </w:pPr>
      <w:r>
        <w:rPr>
          <w:rFonts w:ascii="Calibri" w:cs="Calibri" w:eastAsia="Calibri" w:hAnsi="Calibri"/>
        </w:rPr>
        <w:t xml:space="preserve">El tab PMR se alimenta enteramente de PMR_Historico.xlsx (carpeta compartida) — no depende de ninguna hoja de torre_de_control_CCR.xlsx. Cada tarjeta muestra los datos del ciclo vigente (ver "Ciclo vigente y detección de datos desactualizados" abajo) y, al hacer clic, abre un popup con la tabla de todos los ciclos PMR registrados para esa operación.</w:t>
      </w:r>
    </w:p>
    <w:p>
      <w:pPr>
        <w:spacing w:after="160"/>
      </w:pPr>
      <w:r>
        <w:rPr>
          <w:rFonts w:ascii="Calibri" w:cs="Calibri" w:eastAsia="Calibri" w:hAnsi="Calibri"/>
        </w:rPr>
        <w:t xml:space="preserve">PMR_Historico.xlsx tiene una hoja por operación, nombrada exactamente igual al código de operación (datos_ops.codigo, ej. CR-L1032). Cada hoja tiene una fila por ciclo PMR, con columnas: Ciclo | Estado del PMI | CPI | SPI | CPI(a) | SPI(a) | Disb | T3 | Indicador Sintético | Clasificación Auto calculada | Clasificación Validada | Comentarios de simulación PMR | Plan Acción 2026.</w:t>
      </w:r>
    </w:p>
    <w:p>
      <w:pPr>
        <w:spacing w:after="160"/>
      </w:pPr>
      <w:r>
        <w:rPr>
          <w:rFonts w:ascii="Calibri" w:cs="Calibri" w:eastAsia="Calibri" w:hAnsi="Calibri"/>
        </w:rPr>
        <w:t xml:space="preserve">Las dos últimas columnas (Comentarios de simulación PMR y Plan Acción 2026) son el análisis y plan de acción del ciclo actual — solo deberían llenarse en la fila del ciclo vigente; en ciclos pasados quedan vacías.</w:t>
      </w:r>
    </w:p>
    <w:p>
      <w:pPr>
        <w:spacing w:after="160"/>
      </w:pPr>
      <w:r>
        <w:rPr>
          <w:rFonts w:ascii="Calibri" w:cs="Calibri" w:eastAsia="Calibri" w:hAnsi="Calibri"/>
        </w:rPr>
        <w:t xml:space="preserve">Estado del PMI también determina la Etapa que muestra la tarjeta (1/2/3), según el texto exacto de la celda: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del PMI</w:t>
            </w:r>
          </w:p>
        </w:tc>
        <w:tc>
          <w:tcPr>
            <w:tcW w:type="dxa" w:w="187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Etapa</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Desde la Aprobación hasta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1</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 la Elegibilidad</w:t>
            </w:r>
          </w:p>
        </w:tc>
        <w:tc>
          <w:tcPr>
            <w:tcW w:type="dxa" w:w="1872"/>
            <w:tcMar>
              <w:top w:type="dxa" w:w="80"/>
              <w:left w:type="dxa" w:w="100"/>
              <w:bottom w:type="dxa" w:w="80"/>
              <w:right w:type="dxa" w:w="100"/>
            </w:tcMar>
          </w:tcPr>
          <w:p>
            <w:pPr>
              <w:spacing w:after="0"/>
            </w:pPr>
            <w:r>
              <w:rPr>
                <w:rFonts w:ascii="Calibri" w:cs="Calibri" w:eastAsia="Calibri" w:hAnsi="Calibri"/>
              </w:rPr>
              <w:t xml:space="preserve">2</w:t>
            </w:r>
          </w:p>
        </w:tc>
      </w:tr>
      <w:tr>
        <w:tc>
          <w:tcPr>
            <w:tcW w:type="dxa" w:w="7488"/>
            <w:tcMar>
              <w:top w:type="dxa" w:w="80"/>
              <w:left w:type="dxa" w:w="100"/>
              <w:bottom w:type="dxa" w:w="80"/>
              <w:right w:type="dxa" w:w="100"/>
            </w:tcMar>
          </w:tcPr>
          <w:p>
            <w:pPr>
              <w:spacing w:after="0"/>
            </w:pPr>
            <w:r>
              <w:rPr>
                <w:rFonts w:ascii="Calibri" w:cs="Calibri" w:eastAsia="Calibri" w:hAnsi="Calibri"/>
              </w:rPr>
              <w:t xml:space="preserve">Después del proyecto alcanza el 95% de los desembolsos totales</w:t>
            </w:r>
          </w:p>
        </w:tc>
        <w:tc>
          <w:tcPr>
            <w:tcW w:type="dxa" w:w="1872"/>
            <w:tcMar>
              <w:top w:type="dxa" w:w="80"/>
              <w:left w:type="dxa" w:w="100"/>
              <w:bottom w:type="dxa" w:w="80"/>
              <w:right w:type="dxa" w:w="100"/>
            </w:tcMar>
          </w:tcPr>
          <w:p>
            <w:pPr>
              <w:spacing w:after="0"/>
            </w:pPr>
            <w:r>
              <w:rPr>
                <w:rFonts w:ascii="Calibri" w:cs="Calibri" w:eastAsia="Calibri" w:hAnsi="Calibri"/>
              </w:rPr>
              <w:t xml:space="preserve">3</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Si una operación no tiene hoja en PMR_Historico.xlsx (o el archivo no está disponible), simplemente no aparece en el tab PMR.</w:t>
      </w:r>
    </w:p>
    <w:p>
      <w:pPr>
        <w:pStyle w:val="Heading2"/>
        <w:spacing w:after="120" w:before="240"/>
      </w:pPr>
      <w:r>
        <w:t xml:space="preserve">Cómo agregar ciclos históricos</w:t>
      </w:r>
    </w:p>
    <w:p>
      <w:pPr>
        <w:pStyle w:val="ListParagraph"/>
        <w:numPr>
          <w:ilvl w:val="0"/>
          <w:numId w:val="5"/>
        </w:numPr>
        <w:spacing w:after="80"/>
      </w:pPr>
      <w:r>
        <w:rPr>
          <w:rFonts w:ascii="Calibri" w:cs="Calibri" w:eastAsia="Calibri" w:hAnsi="Calibri"/>
        </w:rPr>
        <w:t xml:space="preserve">Abre PMR_Historico.xlsx en la carpeta compartida y ve a la hoja de la operación correspondiente (créala si la operación todavía no tiene hoja, usando su código como nombre).</w:t>
      </w:r>
    </w:p>
    <w:p>
      <w:pPr>
        <w:pStyle w:val="ListParagraph"/>
        <w:numPr>
          <w:ilvl w:val="0"/>
          <w:numId w:val="5"/>
        </w:numPr>
        <w:spacing w:after="80"/>
      </w:pPr>
      <w:r>
        <w:rPr>
          <w:rFonts w:ascii="Calibri" w:cs="Calibri" w:eastAsia="Calibri" w:hAnsi="Calibri"/>
        </w:rPr>
        <w:t xml:space="preserve">Agrega una fila por cada ciclo adicional, con las columnas de arriba, dejando Comentarios de simulación PMR y Plan Acción 2026 vacías (son solo del ciclo vigente).</w:t>
      </w:r>
    </w:p>
    <w:p>
      <w:pPr>
        <w:pStyle w:val="ListParagraph"/>
        <w:numPr>
          <w:ilvl w:val="0"/>
          <w:numId w:val="5"/>
        </w:numPr>
        <w:spacing w:after="80"/>
      </w:pPr>
      <w:r>
        <w:rPr>
          <w:rFonts w:ascii="Calibri" w:cs="Calibri" w:eastAsia="Calibri" w:hAnsi="Calibri"/>
        </w:rPr>
        <w:t xml:space="preserve">Guarda el archivo actualizado en la carpeta compartida y avisa al administrador de la aplicación (ver "Pasos para actualizar archivos").</w:t>
      </w:r>
    </w:p>
    <w:p>
      <w:pPr>
        <w:pStyle w:val="Heading2"/>
        <w:spacing w:after="120" w:before="240"/>
      </w:pPr>
      <w:r>
        <w:t xml:space="preserve">Ciclo vigente y detección de datos desactualizados</w:t>
      </w:r>
    </w:p>
    <w:p>
      <w:pPr>
        <w:spacing w:after="160"/>
      </w:pPr>
      <w:r>
        <w:rPr>
          <w:rFonts w:ascii="Calibri" w:cs="Calibri" w:eastAsia="Calibri" w:hAnsi="Calibri"/>
        </w:rPr>
        <w:t xml:space="preserve">El ciclo PMR vigente lo define el administrador de la aplicación en el código del dashboard (no es un dato que se edite desde la carpeta compartida). Con base en ese ciclo, cada tarjeta busca en la hoja de su operación una fila cuyo Ciclo coincida exactamente con el ciclo vigente y muestra esa fila.</w:t>
      </w:r>
    </w:p>
    <w:p>
      <w:pPr>
        <w:spacing w:after="160"/>
      </w:pPr>
      <w:r>
        <w:rPr>
          <w:rFonts w:ascii="Calibri" w:cs="Calibri" w:eastAsia="Calibri" w:hAnsi="Calibri"/>
        </w:rPr>
        <w:t xml:space="preserve">Si no encuentra ninguna, muestra en su lugar la fila más reciente disponible junto con una advertencia como la siguiente:</w:t>
      </w:r>
    </w:p>
    <w:p>
      <w:pPr>
        <w:spacing w:after="160"/>
        <w:ind w:left="400"/>
      </w:pPr>
      <w:r>
        <w:rPr>
          <w:rFonts w:ascii="Calibri" w:cs="Calibri" w:eastAsia="Calibri" w:hAnsi="Calibri"/>
          <w:b w:val="false"/>
          <w:bCs w:val="false"/>
          <w:i/>
          <w:iCs/>
        </w:rPr>
        <w:t xml:space="preserve">⚠ Datos de "&lt;ciclo&gt;" — no hay ciclo vigente (&lt;ciclo vigente&gt;) cargado en el histórico</w:t>
      </w:r>
    </w:p>
    <w:p>
      <w:pPr>
        <w:spacing w:after="160"/>
      </w:pPr>
      <w:r>
        <w:rPr>
          <w:rFonts w:ascii="Calibri" w:cs="Calibri" w:eastAsia="Calibri" w:hAnsi="Calibri"/>
        </w:rPr>
        <w:t xml:space="preserve">Esa advertencia indica que a la operación le falta la fila del ciclo nuevo en PMR_Historico.xlsx — hay que agregarla siguiendo los pasos de "Cómo agregar ciclos históricos" de arriba. No cambia la calificación de la tarjeta en los KPI del tab (Satisfactorio / Alerta / Problema / Sin calificación); esos siguen sumando la calificación de la fila mostrada en cada tarjeta, y su total sigue siendo igual a la cantidad de tarjetas mostradas.</w:t>
      </w:r>
    </w:p>
    <w:p>
      <w:pPr>
        <w:pStyle w:val="Heading1"/>
        <w:spacing w:after="160" w:before="320"/>
      </w:pPr>
      <w:r>
        <w:t xml:space="preserve">Acuerdos de Revisión de Cartera</w:t>
      </w:r>
    </w:p>
    <w:p>
      <w:pPr>
        <w:spacing w:after="160"/>
      </w:pPr>
      <w:r>
        <w:rPr>
          <w:rFonts w:ascii="Calibri" w:cs="Calibri" w:eastAsia="Calibri" w:hAnsi="Calibri"/>
        </w:rPr>
        <w:t xml:space="preserve">El tab Acuerdos se alimenta enteramente de agreement_report.xlsx (carpeta compartida) — un reporte exportado del portal del BID con los acuerdos de las Revisiones de Cartera (RGC) de cada operación. No depende de ninguna hoja de torre_de_control_CCR.xlsx.</w:t>
      </w:r>
    </w:p>
    <w:p>
      <w:pPr>
        <w:spacing w:after="160"/>
      </w:pPr>
      <w:r>
        <w:rPr>
          <w:rFonts w:ascii="Calibri" w:cs="Calibri" w:eastAsia="Calibri" w:hAnsi="Calibri"/>
        </w:rPr>
        <w:t>El archivo tiene una sola hoja, con columnas (entre otras que el dashboard ignora): Proyecto | Nombre del Proyecto | Estado | Descripción del acuerdo | Fecha de Vencimiento | Responsable | Último comentario ingresado | Nueva Fecha de Vencimiento. El dashboard ubica la fila de encabezados buscando la celda "Descripción del acuerdo" y lee las filas siguientes hasta la primera fila sin Proyecto (donde empieza el bloque de totales).</w:t>
      </w:r>
    </w:p>
    <w:p>
      <w:pPr>
        <w:spacing w:after="160"/>
      </w:pPr>
      <w:r>
        <w:rPr>
          <w:rFonts w:ascii="Calibri" w:cs="Calibri" w:eastAsia="Calibri" w:hAnsi="Calibri"/>
        </w:rPr>
        <w:t xml:space="preserve">El dashboard no usa los totales del pie del reporte ("Total acuerdos: ...") — carga todas las filas de datos y calcula sus propios conteos. Tampoco usa el Estado del Excel tal cual; lo traduce a 4 categorías propias: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3556"/>
        <w:gridCol w:w="2808"/>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Estado en el Excel</w:t>
            </w:r>
          </w:p>
        </w:tc>
        <w:tc>
          <w:tcPr>
            <w:tcW w:type="dxa" w:w="355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Regla</w:t>
            </w:r>
          </w:p>
        </w:tc>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Categoría mostrada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Cumplidos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Cumplido</w:t>
            </w:r>
            <w:r>
              <w:rPr>
                <w:rFonts w:ascii="Calibri" w:cs="Calibri" w:eastAsia="Calibri" w:hAnsi="Calibri"/>
              </w:rPr>
              <w:t xml:space="preserve"> (verde)</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Cancelados</w:t>
            </w:r>
          </w:p>
        </w:tc>
        <w:tc>
          <w:tcPr>
            <w:tcW w:type="dxa" w:w="3556"/>
            <w:tcMar>
              <w:top w:type="dxa" w:w="80"/>
              <w:left w:type="dxa" w:w="100"/>
              <w:bottom w:type="dxa" w:w="80"/>
              <w:right w:type="dxa" w:w="100"/>
            </w:tcMar>
          </w:tcPr>
          <w:p>
            <w:pPr>
              <w:spacing w:after="0"/>
            </w:pPr>
            <w:r>
              <w:rPr>
                <w:rFonts w:ascii="Calibri" w:cs="Calibri" w:eastAsia="Calibri" w:hAnsi="Calibri"/>
              </w:rPr>
              <w:t xml:space="preserve">—</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Eliminado</w:t>
            </w:r>
            <w:r>
              <w:rPr>
                <w:rFonts w:ascii="Calibri" w:cs="Calibri" w:eastAsia="Calibri" w:hAnsi="Calibri"/>
              </w:rPr>
              <w:t xml:space="preserve"> (azul)</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En proceso</w:t>
            </w:r>
            <w:r>
              <w:rPr>
                <w:rFonts w:ascii="Calibri" w:cs="Calibri" w:eastAsia="Calibri" w:hAnsi="Calibri"/>
              </w:rPr>
              <w:t xml:space="preserve"> (amarillo)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Vigente / Pendientes de aprobación</w:t>
            </w:r>
          </w:p>
        </w:tc>
        <w:tc>
          <w:tcPr>
            <w:tcW w:type="dxa" w:w="3556"/>
            <w:tcMar>
              <w:top w:type="dxa" w:w="80"/>
              <w:left w:type="dxa" w:w="100"/>
              <w:bottom w:type="dxa" w:w="80"/>
              <w:right w:type="dxa" w:w="100"/>
            </w:tcMar>
          </w:tcPr>
          <w:p>
            <w:pPr>
              <w:spacing w:after="0"/>
            </w:pPr>
            <w:r>
              <w:rPr>
                <w:rFonts w:ascii="Calibri" w:cs="Calibri" w:eastAsia="Calibri" w:hAnsi="Calibri"/>
              </w:rPr>
              <w:t xml:space="preserve">fecha de vencimiento efectiva &lt; hoy</w:t>
            </w:r>
          </w:p>
        </w:tc>
        <w:tc>
          <w:tcPr>
            <w:tcW w:type="dxa" w:w="2808"/>
            <w:tcMar>
              <w:top w:type="dxa" w:w="80"/>
              <w:left w:type="dxa" w:w="100"/>
              <w:bottom w:type="dxa" w:w="80"/>
              <w:right w:type="dxa" w:w="100"/>
            </w:tcMar>
          </w:tcPr>
          <w:p>
            <w:pPr>
              <w:spacing w:after="0"/>
            </w:pPr>
            <w:r>
              <w:rPr>
                <w:rFonts w:ascii="Calibri" w:cs="Calibri" w:eastAsia="Calibri" w:hAnsi="Calibri"/>
                <w:b/>
                <w:bCs/>
                <w:i w:val="false"/>
                <w:iCs w:val="false"/>
              </w:rPr>
              <w:t xml:space="preserve">Retrasado</w:t>
            </w:r>
            <w:r>
              <w:rPr>
                <w:rFonts w:ascii="Calibri" w:cs="Calibri" w:eastAsia="Calibri" w:hAnsi="Calibri"/>
              </w:rPr>
              <w:t xml:space="preserve"> (rojo)</w:t>
            </w:r>
          </w:p>
        </w:tc>
      </w:tr>
    </w:tbl>
    <w:p>
      <w:pPr>
        <w:spacing w:after="160"/>
      </w:pPr>
      <w:r>
        <w:rPr>
          <w:rFonts w:ascii="Calibri" w:cs="Calibri" w:eastAsia="Calibri" w:hAnsi="Calibri"/>
        </w:rPr>
        <w:t xml:space="preserve"/>
      </w:r>
    </w:p>
    <w:p>
      <w:pPr>
        <w:spacing w:after="160"/>
      </w:pPr>
      <w:r>
        <w:rPr>
          <w:rFonts w:ascii="Calibri" w:cs="Calibri" w:eastAsia="Calibri" w:hAnsi="Calibri"/>
        </w:rPr>
        <w:t xml:space="preserve">La "fecha de vencimiento efectiva" es Nueva Fecha de Vencimiento cuando tiene un valor real (no vacío ni "-"); si no, es Fecha de Vencimiento. Por esto, un acuerdo puede aparecer como "Retrasado" en el dashboard aunque el Excel diga "Vigente" — el reporte del BID no recalcula ese estado automáticamente cuando pasa la fecha.</w:t>
      </w:r>
    </w:p>
    <w:p>
      <w:pPr>
        <w:spacing w:after="160"/>
      </w:pPr>
      <w:r>
        <w:rPr>
          <w:rFonts w:ascii="Calibri" w:cs="Calibri" w:eastAsia="Calibri" w:hAnsi="Calibri"/>
        </w:rPr>
        <w:t>En la tabla "Seguimiento de acuerdos", la columna Días muestra los días que faltan para la fecha efectiva (o "venció hace Nd"), en rojo si está retrasado y en amarillo si está en proceso y vence en ≤30 días. Al hacer clic en el encabezado Días la tabla se ordena por fecha (ascendente / descendente). La columna Comentario muestra el "Último comentario ingresado" del reporte. El badge rojo del tab indica la cantidad de acuerdos retrasados.</w:t>
      </w:r>
    </w:p>
    <w:p>
      <w:pPr>
        <w:spacing w:after="160"/>
      </w:pPr>
      <w:r>
        <w:rPr>
          <w:rFonts w:ascii="Calibri" w:cs="Calibri" w:eastAsia="Calibri" w:hAnsi="Calibri"/>
        </w:rPr>
        <w:t>El tab Resumen muestra además una tarjeta "Acuerdos vencidos / por vencer" y la tabla "Acuerdos vencidos y próximos a vencer (≤30 días)": los acuerdos en estado Retrasado más los En proceso cuya fecha de vencimiento efectiva cae dentro de los próximos 30 días (los Cumplidos y Eliminados no aparecen). Se ordenan por fecha, con los vencidos primero, y al pie hay un enlace al tab Acuerdos.</w:t>
      </w:r>
    </w:p>
    <w:p>
      <w:pPr>
        <w:pStyle w:val="Heading2"/>
        <w:spacing w:after="120" w:before="240"/>
      </w:pPr>
      <w:r>
        <w:t xml:space="preserve">Cómo actualizar los acuerdos</w:t>
      </w:r>
    </w:p>
    <w:p>
      <w:pPr>
        <w:pStyle w:val="ListParagraph"/>
        <w:numPr>
          <w:ilvl w:val="0"/>
          <w:numId w:val="6"/>
        </w:numPr>
        <w:spacing w:after="80"/>
      </w:pPr>
      <w:r>
        <w:rPr>
          <w:rFonts w:ascii="Calibri" w:cs="Calibri" w:eastAsia="Calibri" w:hAnsi="Calibri"/>
        </w:rPr>
        <w:t xml:space="preserve">Descarga el reporte actualizado desde el portal del BID (reporte de Acuerdos, filtrado por País = Costa Rica).</w:t>
      </w:r>
    </w:p>
    <w:p>
      <w:pPr>
        <w:pStyle w:val="ListParagraph"/>
        <w:numPr>
          <w:ilvl w:val="0"/>
          <w:numId w:val="6"/>
        </w:numPr>
        <w:spacing w:after="80"/>
      </w:pPr>
      <w:r>
        <w:rPr>
          <w:rFonts w:ascii="Calibri" w:cs="Calibri" w:eastAsia="Calibri" w:hAnsi="Calibri"/>
        </w:rPr>
        <w:t xml:space="preserve">Reemplaza agreement_report.xlsx en la carpeta compartida, conservando exactamente el mismo nombre, y avisa al administrador de la aplicación (ver "Pasos para actualizar archivos").</w:t>
      </w:r>
    </w:p>
    <w:p>
      <w:pPr>
        <w:spacing w:after="160"/>
      </w:pPr>
      <w:r>
        <w:rPr>
          <w:rFonts w:ascii="Calibri" w:cs="Calibri" w:eastAsia="Calibri" w:hAnsi="Calibri"/>
        </w:rPr>
        <w:t xml:space="preserve">El dashboard reflejará los acuerdos nuevos, cerrados o con fecha modificada en la próxima visita o al presionar "Actualizar Datos".</w:t>
      </w:r>
    </w:p>
    <w:p>
      <w:pPr>
        <w:pStyle w:val="Heading1"/>
        <w:spacing w:after="160" w:before="320"/>
      </w:pPr>
      <w:r>
        <w:t xml:space="preserve">Cómo registrar comentarios en cláusulas vencidas</w:t>
      </w:r>
    </w:p>
    <w:p>
      <w:pPr>
        <w:pStyle w:val="ListParagraph"/>
        <w:numPr>
          <w:ilvl w:val="0"/>
          <w:numId w:val="7"/>
        </w:numPr>
        <w:spacing w:after="80"/>
      </w:pPr>
      <w:r>
        <w:rPr>
          <w:rFonts w:ascii="Calibri" w:cs="Calibri" w:eastAsia="Calibri" w:hAnsi="Calibri"/>
        </w:rPr>
        <w:t xml:space="preserve">Abre torre_de_control_CCR.xlsx en la carpeta compartida y ve a la hoja comentarios_clausulas.</w:t>
      </w:r>
    </w:p>
    <w:p>
      <w:pPr>
        <w:pStyle w:val="ListParagraph"/>
        <w:numPr>
          <w:ilvl w:val="0"/>
          <w:numId w:val="7"/>
        </w:numPr>
        <w:spacing w:after="80"/>
      </w:pPr>
      <w:r>
        <w:rPr>
          <w:rFonts w:ascii="Calibri" w:cs="Calibri" w:eastAsia="Calibri" w:hAnsi="Calibri"/>
        </w:rPr>
        <w:t xml:space="preserve">Agrega una fila con los siguientes campos: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4"/>
      </w:tblGrid>
      <w:tr>
        <w:trPr>
          <w:tblHeader/>
        </w:trPr>
        <w:tc>
          <w:tcPr>
            <w:tcW w:type="dxa" w:w="2995"/>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Columna</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Clause_ID</w:t>
            </w:r>
          </w:p>
        </w:tc>
        <w:tc>
          <w:tcPr>
            <w:tcW w:type="dxa" w:w="6364"/>
            <w:tcMar>
              <w:top w:type="dxa" w:w="80"/>
              <w:left w:type="dxa" w:w="100"/>
              <w:bottom w:type="dxa" w:w="80"/>
              <w:right w:type="dxa" w:w="100"/>
            </w:tcMar>
          </w:tcPr>
          <w:p>
            <w:pPr>
              <w:spacing w:after="0"/>
            </w:pPr>
            <w:r>
              <w:rPr>
                <w:rFonts w:ascii="Calibri" w:cs="Calibri" w:eastAsia="Calibri" w:hAnsi="Calibri"/>
              </w:rPr>
              <w:t xml:space="preserve">ID exacto de la cláusula (tomarlo del CSV)</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en que se registra 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Autor</w:t>
            </w:r>
          </w:p>
        </w:tc>
        <w:tc>
          <w:tcPr>
            <w:tcW w:type="dxa" w:w="6364"/>
            <w:tcMar>
              <w:top w:type="dxa" w:w="80"/>
              <w:left w:type="dxa" w:w="100"/>
              <w:bottom w:type="dxa" w:w="80"/>
              <w:right w:type="dxa" w:w="100"/>
            </w:tcMar>
          </w:tcPr>
          <w:p>
            <w:pPr>
              <w:spacing w:after="0"/>
            </w:pPr>
            <w:r>
              <w:rPr>
                <w:rFonts w:ascii="Calibri" w:cs="Calibri" w:eastAsia="Calibri" w:hAnsi="Calibri"/>
              </w:rPr>
              <w:t xml:space="preserve">Nombre de quien registra</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Comentario</w:t>
            </w:r>
          </w:p>
        </w:tc>
        <w:tc>
          <w:tcPr>
            <w:tcW w:type="dxa" w:w="6364"/>
            <w:tcMar>
              <w:top w:type="dxa" w:w="80"/>
              <w:left w:type="dxa" w:w="100"/>
              <w:bottom w:type="dxa" w:w="80"/>
              <w:right w:type="dxa" w:w="100"/>
            </w:tcMar>
          </w:tcPr>
          <w:p>
            <w:pPr>
              <w:spacing w:after="0"/>
            </w:pPr>
            <w:r>
              <w:rPr>
                <w:rFonts w:ascii="Calibri" w:cs="Calibri" w:eastAsia="Calibri" w:hAnsi="Calibri"/>
              </w:rPr>
              <w:t xml:space="preserve">Texto del comentario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Estado_Gestion</w:t>
            </w:r>
          </w:p>
        </w:tc>
        <w:tc>
          <w:tcPr>
            <w:tcW w:type="dxa" w:w="6364"/>
            <w:tcMar>
              <w:top w:type="dxa" w:w="80"/>
              <w:left w:type="dxa" w:w="100"/>
              <w:bottom w:type="dxa" w:w="80"/>
              <w:right w:type="dxa" w:w="100"/>
            </w:tcMar>
          </w:tcPr>
          <w:p>
            <w:pPr>
              <w:spacing w:after="0"/>
            </w:pPr>
            <w:r>
              <w:rPr>
                <w:rFonts w:ascii="Calibri" w:cs="Calibri" w:eastAsia="Calibri" w:hAnsi="Calibri"/>
              </w:rPr>
              <w:t xml:space="preserve">"En gestión" / "Resuelto" / "Escalado"</w:t>
            </w:r>
          </w:p>
        </w:tc>
      </w:tr>
      <w:tr>
        <w:tc>
          <w:tcPr>
            <w:tcW w:type="dxa" w:w="2995"/>
            <w:tcMar>
              <w:top w:type="dxa" w:w="80"/>
              <w:left w:type="dxa" w:w="100"/>
              <w:bottom w:type="dxa" w:w="80"/>
              <w:right w:type="dxa" w:w="100"/>
            </w:tcMar>
          </w:tcPr>
          <w:p>
            <w:pPr>
              <w:spacing w:after="0"/>
            </w:pPr>
            <w:r>
              <w:rPr>
                <w:rFonts w:ascii="Calibri" w:cs="Calibri" w:eastAsia="Calibri" w:hAnsi="Calibri"/>
              </w:rPr>
              <w:t xml:space="preserve">Fecha_Compromiso</w:t>
            </w:r>
          </w:p>
        </w:tc>
        <w:tc>
          <w:tcPr>
            <w:tcW w:type="dxa" w:w="6364"/>
            <w:tcMar>
              <w:top w:type="dxa" w:w="80"/>
              <w:left w:type="dxa" w:w="100"/>
              <w:bottom w:type="dxa" w:w="80"/>
              <w:right w:type="dxa" w:w="100"/>
            </w:tcMar>
          </w:tcPr>
          <w:p>
            <w:pPr>
              <w:spacing w:after="0"/>
            </w:pPr>
            <w:r>
              <w:rPr>
                <w:rFonts w:ascii="Calibri" w:cs="Calibri" w:eastAsia="Calibri" w:hAnsi="Calibri"/>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8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1497"/>
        <w:gridCol w:w="6364"/>
      </w:tblGrid>
      <w:tr>
        <w:trPr>
          <w:tblHeader/>
        </w:trPr>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Tab</w:t>
            </w:r>
          </w:p>
        </w:tc>
        <w:tc>
          <w:tcPr>
            <w:tcW w:type="dxa" w:w="1497"/>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Fuente</w:t>
            </w:r>
          </w:p>
        </w:tc>
        <w:tc>
          <w:tcPr>
            <w:tcW w:type="dxa" w:w="636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Resumen</w:t>
            </w:r>
          </w:p>
        </w:tc>
        <w:tc>
          <w:tcPr>
            <w:tcW w:type="dxa" w:w="1497"/>
            <w:tcMar>
              <w:top w:type="dxa" w:w="80"/>
              <w:left w:type="dxa" w:w="100"/>
              <w:bottom w:type="dxa" w:w="80"/>
              <w:right w:type="dxa" w:w="100"/>
            </w:tcMar>
          </w:tcPr>
          <w:p>
            <w:pPr>
              <w:spacing w:after="0"/>
            </w:pPr>
            <w:r>
              <w:rPr>
                <w:rFonts w:ascii="Calibri" w:cs="Calibri" w:eastAsia="Calibri" w:hAnsi="Calibri"/>
              </w:rPr>
              <w:t>xlsx + csv + agreement_report</w:t>
            </w:r>
          </w:p>
        </w:tc>
        <w:tc>
          <w:tcPr>
            <w:tcW w:type="dxa" w:w="6364"/>
            <w:tcMar>
              <w:top w:type="dxa" w:w="80"/>
              <w:left w:type="dxa" w:w="100"/>
              <w:bottom w:type="dxa" w:w="80"/>
              <w:right w:type="dxa" w:w="100"/>
            </w:tcMar>
          </w:tcPr>
          <w:p>
            <w:pPr>
              <w:spacing w:after="0"/>
            </w:pPr>
            <w:r>
              <w:rPr>
                <w:rFonts w:ascii="Calibri" w:cs="Calibri" w:eastAsia="Calibri" w:hAnsi="Calibri"/>
              </w:rPr>
              <w:t>KPIs generales: cláusulas vencidas, cláusulas que vencen en 180 días, productos críticos retrasados, operaciones activas (las que tienen productos críticos) y acuerdos vencidos / por vencer. Tabla de estado de productos por operación (Logrado / En tiempo / Retrasado / Pausado), tabla de cláusulas vencidas y próximas a vencer (≤30 días) y tabla de acuerdos vencidos y próximos a vencer (≤30 días), con urgencia Vencido / Crítico (≤7 días) / Urgente (≤15) / Próximo. Cada tabla tiene al pie un enlace al tab con el detalle (Productos Críticos, Cláusulas, Acuerdos).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Cláusulas</w:t>
            </w:r>
          </w:p>
        </w:tc>
        <w:tc>
          <w:tcPr>
            <w:tcW w:type="dxa" w:w="1497"/>
            <w:tcMar>
              <w:top w:type="dxa" w:w="80"/>
              <w:left w:type="dxa" w:w="100"/>
              <w:bottom w:type="dxa" w:w="80"/>
              <w:right w:type="dxa" w:w="100"/>
            </w:tcMar>
          </w:tcPr>
          <w:p>
            <w:pPr>
              <w:spacing w:after="0"/>
            </w:pPr>
            <w:r>
              <w:rPr>
                <w:rFonts w:ascii="Calibri" w:cs="Calibri" w:eastAsia="Calibri" w:hAnsi="Calibri"/>
              </w:rPr>
              <w:t xml:space="preserve">csv + xlsx</w:t>
            </w:r>
          </w:p>
        </w:tc>
        <w:tc>
          <w:tcPr>
            <w:tcW w:type="dxa" w:w="6364"/>
            <w:tcMar>
              <w:top w:type="dxa" w:w="80"/>
              <w:left w:type="dxa" w:w="100"/>
              <w:bottom w:type="dxa" w:w="80"/>
              <w:right w:type="dxa" w:w="100"/>
            </w:tcMar>
          </w:tcPr>
          <w:p>
            <w:pPr>
              <w:spacing w:after="0"/>
            </w:pPr>
            <w:r>
              <w:rPr>
                <w:rFonts w:ascii="Calibri" w:cs="Calibri" w:eastAsia="Calibri" w:hAnsi="Calibri"/>
              </w:rPr>
              <w:t>Dos secciones: Vencidas (con el comentario más reciente de comentarios_clausulas) y Próximas a vencer (180 días) con barra de urgencia. Solo considera cláusulas de préstamos de inversión (INV) en estado TRACK. Los badges del tab muestran ambos conteos. Filtro por operación (un botón por cada programa con cláusulas vencidas o por vencer; se generan solos a partir del CSV) que filtra ambas tablas; un segundo clic o ↺ Todas vuelve a mostrar todas. Los badges y KPIs siguen mostrando los totales.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Indicadores de la Matriz de Resultados agrupados por operación y objetivo, con probabilidad Alta/Media/Baja (tarjetas con conteo y porcentaje del total) y filtro por operación. Los chips de producto crítico se colorean según su estado y, al hacer clic, muestran su(s) adquisición(es) crítica(s) (ver "Adquisiciones críticas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Productos Críticos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 + raw data</w:t>
            </w:r>
          </w:p>
        </w:tc>
        <w:tc>
          <w:tcPr>
            <w:tcW w:type="dxa" w:w="6364"/>
            <w:tcMar>
              <w:top w:type="dxa" w:w="80"/>
              <w:left w:type="dxa" w:w="100"/>
              <w:bottom w:type="dxa" w:w="80"/>
              <w:right w:type="dxa" w:w="100"/>
            </w:tcMar>
          </w:tcPr>
          <w:p>
            <w:pPr>
              <w:spacing w:after="0"/>
            </w:pPr>
            <w:r>
              <w:rPr>
                <w:rFonts w:ascii="Calibri" w:cs="Calibri" w:eastAsia="Calibri" w:hAnsi="Calibri"/>
              </w:rPr>
              <w:t>Tarjetas con conteo y porcentaje de productos Logrados / En tiempo / Retrasados / Pausados, filtro por operación y tabla de productos. Cada producto muestra el nombre de su(s) adquisición(es) crítica(s) como chip clicable, con detalle de ID de proceso, monto, estado y método.</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Equipo</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Composición del equipo por operación con alerta de roles faltantes. Roles requeridos: Jefe de Equipo, Jefe de Equipo alterno, Abogado, Esp. Adquisiciones, Esp. Financiera, Apoyo Fiduciario, Equipo ESG y 2 Analistas.</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Tarjeta por operación con íconos por tipo de documento que enlazan a SharePoint/EZShare (Firma autorizada, PP, POD, LP, LP — Modification, LC, LC — Loan modification, ROP, PF, Ratificación AL, Policy waivers, PEP, Provisionamiento Portal del Cliente). Tipos no reconocidos se muestran con ícono genérico; los documentos sin URL aparecen como "Sin enlace".</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PMR</w:t>
            </w:r>
          </w:p>
        </w:tc>
        <w:tc>
          <w:tcPr>
            <w:tcW w:type="dxa" w:w="1497"/>
            <w:tcMar>
              <w:top w:type="dxa" w:w="80"/>
              <w:left w:type="dxa" w:w="100"/>
              <w:bottom w:type="dxa" w:w="80"/>
              <w:right w:type="dxa" w:w="100"/>
            </w:tcMar>
          </w:tcPr>
          <w:p>
            <w:pPr>
              <w:spacing w:after="0"/>
            </w:pPr>
            <w:r>
              <w:rPr>
                <w:rFonts w:ascii="Calibri" w:cs="Calibri" w:eastAsia="Calibri" w:hAnsi="Calibri"/>
              </w:rPr>
              <w:t xml:space="preserve">PMR_Historico</w:t>
            </w:r>
          </w:p>
        </w:tc>
        <w:tc>
          <w:tcPr>
            <w:tcW w:type="dxa" w:w="6364"/>
            <w:tcMar>
              <w:top w:type="dxa" w:w="80"/>
              <w:left w:type="dxa" w:w="100"/>
              <w:bottom w:type="dxa" w:w="80"/>
              <w:right w:type="dxa" w:w="100"/>
            </w:tcMar>
          </w:tcPr>
          <w:p>
            <w:pPr>
              <w:spacing w:after="0"/>
            </w:pPr>
            <w:r>
              <w:rPr>
                <w:rFonts w:ascii="Calibri" w:cs="Calibri" w:eastAsia="Calibri" w:hAnsi="Calibri"/>
              </w:rPr>
              <w:t>Calificaciones (Satisfactorio / Alerta / Problema / Sin calificación) e indicadores técnicos (Desemb., SPI, SPI(a), CPI, CPI(a), Meses 95%, Etapa) del ciclo PMR vigente por programa. Si la clasificación validada difiere de la calculada, la tarjeta muestra ambas con la marca "Ajustada por la COF". Las tarjetas son clicables y muestran la tabla de ciclos anteriores; las que tienen el histórico desactualizado respecto al ciclo vigente muestran una advertencia (ver "Datos de PMR por operación").</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Acuerdos</w:t>
            </w:r>
          </w:p>
        </w:tc>
        <w:tc>
          <w:tcPr>
            <w:tcW w:type="dxa" w:w="1497"/>
            <w:tcMar>
              <w:top w:type="dxa" w:w="80"/>
              <w:left w:type="dxa" w:w="100"/>
              <w:bottom w:type="dxa" w:w="80"/>
              <w:right w:type="dxa" w:w="100"/>
            </w:tcMar>
          </w:tcPr>
          <w:p>
            <w:pPr>
              <w:spacing w:after="0"/>
            </w:pPr>
            <w:r>
              <w:rPr>
                <w:rFonts w:ascii="Calibri" w:cs="Calibri" w:eastAsia="Calibri" w:hAnsi="Calibri"/>
              </w:rPr>
              <w:t xml:space="preserve">agreement_report</w:t>
            </w:r>
          </w:p>
        </w:tc>
        <w:tc>
          <w:tcPr>
            <w:tcW w:type="dxa" w:w="6364"/>
            <w:tcMar>
              <w:top w:type="dxa" w:w="80"/>
              <w:left w:type="dxa" w:w="100"/>
              <w:bottom w:type="dxa" w:w="80"/>
              <w:right w:type="dxa" w:w="100"/>
            </w:tcMar>
          </w:tcPr>
          <w:p>
            <w:pPr>
              <w:spacing w:after="0"/>
            </w:pPr>
            <w:r>
              <w:rPr>
                <w:rFonts w:ascii="Calibri" w:cs="Calibri" w:eastAsia="Calibri" w:hAnsi="Calibri"/>
              </w:rPr>
              <w:t>Acuerdos de Revisión de Cartera por operación, con estado calculado (Cumplido / En proceso / Retrasado / Eliminado), tarjetas con conteo y porcentaje, gráfico por operación, distribución por estado, filtro por operación y tabla ordenable por fecha (ver "Acuerdos de Revisión de Cartera").</w:t>
            </w:r>
          </w:p>
        </w:tc>
      </w:tr>
      <w:tr>
        <w:tc>
          <w:tcPr>
            <w:tcW w:type="dxa" w:w="1497"/>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1497"/>
            <w:tcMar>
              <w:top w:type="dxa" w:w="80"/>
              <w:left w:type="dxa" w:w="100"/>
              <w:bottom w:type="dxa" w:w="80"/>
              <w:right w:type="dxa" w:w="100"/>
            </w:tcMar>
          </w:tcPr>
          <w:p>
            <w:pPr>
              <w:spacing w:after="0"/>
            </w:pPr>
            <w:r>
              <w:rPr>
                <w:rFonts w:ascii="Calibri" w:cs="Calibri" w:eastAsia="Calibri" w:hAnsi="Calibri"/>
              </w:rPr>
              <w:t xml:space="preserve">xlsx</w:t>
            </w:r>
          </w:p>
        </w:tc>
        <w:tc>
          <w:tcPr>
            <w:tcW w:type="dxa" w:w="6364"/>
            <w:tcMar>
              <w:top w:type="dxa" w:w="80"/>
              <w:left w:type="dxa" w:w="100"/>
              <w:bottom w:type="dxa" w:w="80"/>
              <w:right w:type="dxa" w:w="100"/>
            </w:tcMar>
          </w:tcPr>
          <w:p>
            <w:pPr>
              <w:spacing w:after="0"/>
            </w:pPr>
            <w:r>
              <w:rPr>
                <w:rFonts w:ascii="Calibri" w:cs="Calibri" w:eastAsia="Calibri" w:hAnsi="Calibri"/>
              </w:rPr>
              <w:t>Historial de cambios registrados en la hoja change log (fecha, tab, operación y acción;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76"/>
        <w:gridCol w:w="6084"/>
      </w:tblGrid>
      <w:tr>
        <w:trPr>
          <w:tblHeader/>
        </w:trPr>
        <w:tc>
          <w:tcPr>
            <w:tcW w:type="dxa" w:w="3276"/>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Archivo</w:t>
            </w:r>
          </w:p>
        </w:tc>
        <w:tc>
          <w:tcPr>
            <w:tcW w:type="dxa" w:w="6084"/>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Descripción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index.html</w:t>
            </w:r>
          </w:p>
        </w:tc>
        <w:tc>
          <w:tcPr>
            <w:tcW w:type="dxa" w:w="6084"/>
            <w:tcMar>
              <w:top w:type="dxa" w:w="80"/>
              <w:left w:type="dxa" w:w="100"/>
              <w:bottom w:type="dxa" w:w="80"/>
              <w:right w:type="dxa" w:w="100"/>
            </w:tcMar>
          </w:tcPr>
          <w:p>
            <w:pPr>
              <w:spacing w:after="0"/>
            </w:pPr>
            <w:r>
              <w:rPr>
                <w:rFonts w:ascii="Calibri" w:cs="Calibri" w:eastAsia="Calibri" w:hAnsi="Calibri"/>
              </w:rPr>
              <w:t xml:space="preserve">Dashboard completo (aplicación de una sola página, sin servidor).</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torre_de_control_CCR.xlsx</w:t>
            </w:r>
          </w:p>
        </w:tc>
        <w:tc>
          <w:tcPr>
            <w:tcW w:type="dxa" w:w="6084"/>
            <w:tcMar>
              <w:top w:type="dxa" w:w="80"/>
              <w:left w:type="dxa" w:w="100"/>
              <w:bottom w:type="dxa" w:w="80"/>
              <w:right w:type="dxa" w:w="100"/>
            </w:tcMar>
          </w:tcPr>
          <w:p>
            <w:pPr>
              <w:spacing w:after="0"/>
            </w:pPr>
            <w:r>
              <w:rPr>
                <w:rFonts w:ascii="Calibri" w:cs="Calibri" w:eastAsia="Calibri" w:hAnsi="Calibri"/>
              </w:rPr>
              <w:t xml:space="preserve">Datos: productos críticos, adquisiciones críticas, equipo, documentos, resultados, comentarios de cláusulas y changelog.</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Status Date Clause Operation.csv</w:t>
            </w:r>
          </w:p>
        </w:tc>
        <w:tc>
          <w:tcPr>
            <w:tcW w:type="dxa" w:w="6084"/>
            <w:tcMar>
              <w:top w:type="dxa" w:w="80"/>
              <w:left w:type="dxa" w:w="100"/>
              <w:bottom w:type="dxa" w:w="80"/>
              <w:right w:type="dxa" w:w="100"/>
            </w:tcMar>
          </w:tcPr>
          <w:p>
            <w:pPr>
              <w:spacing w:after="0"/>
            </w:pPr>
            <w:r>
              <w:rPr>
                <w:rFonts w:ascii="Calibri" w:cs="Calibri" w:eastAsia="Calibri" w:hAnsi="Calibri"/>
              </w:rPr>
              <w:t xml:space="preserve">Estado de cláusulas contractuales (fuente: PowerBI BID).</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Raw Data - &lt;préstamo&gt;.xlsx</w:t>
            </w:r>
          </w:p>
        </w:tc>
        <w:tc>
          <w:tcPr>
            <w:tcW w:type="dxa" w:w="6084"/>
            <w:tcMar>
              <w:top w:type="dxa" w:w="80"/>
              <w:left w:type="dxa" w:w="100"/>
              <w:bottom w:type="dxa" w:w="80"/>
              <w:right w:type="dxa" w:w="100"/>
            </w:tcMar>
          </w:tcPr>
          <w:p>
            <w:pPr>
              <w:spacing w:after="0"/>
            </w:pPr>
            <w:r>
              <w:rPr>
                <w:rFonts w:ascii="Calibri" w:cs="Calibri" w:eastAsia="Calibri" w:hAnsi="Calibri"/>
              </w:rPr>
              <w:t xml:space="preserve">Detalle del Plan de Adquisiciones por operación (uno por préstamo con datos cargados).</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PMR_Historico.xlsx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PMR: calificaciones, indicadores y ciclos históricos, una hoja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agreement_report.xlsx</w:t>
            </w:r>
          </w:p>
        </w:tc>
        <w:tc>
          <w:tcPr>
            <w:tcW w:type="dxa" w:w="6084"/>
            <w:tcMar>
              <w:top w:type="dxa" w:w="80"/>
              <w:left w:type="dxa" w:w="100"/>
              <w:bottom w:type="dxa" w:w="80"/>
              <w:right w:type="dxa" w:w="100"/>
            </w:tcMar>
          </w:tcPr>
          <w:p>
            <w:pPr>
              <w:spacing w:after="0"/>
            </w:pPr>
            <w:r>
              <w:rPr>
                <w:rFonts w:ascii="Calibri" w:cs="Calibri" w:eastAsia="Calibri" w:hAnsi="Calibri"/>
              </w:rPr>
              <w:t xml:space="preserve">Fuente única del tab Acuerdos: acuerdos de Revisión de Cartera por operación.</w:t>
            </w:r>
          </w:p>
        </w:tc>
      </w:tr>
      <w:tr>
        <w:tc>
          <w:tcPr>
            <w:tcW w:type="dxa" w:w="3276"/>
            <w:tcMar>
              <w:top w:type="dxa" w:w="80"/>
              <w:left w:type="dxa" w:w="100"/>
              <w:bottom w:type="dxa" w:w="80"/>
              <w:right w:type="dxa" w:w="100"/>
            </w:tcMar>
          </w:tcPr>
          <w:p>
            <w:pPr>
              <w:spacing w:after="0"/>
            </w:pPr>
            <w:r>
              <w:rPr>
                <w:rFonts w:ascii="Calibri" w:cs="Calibri" w:eastAsia="Calibri" w:hAnsi="Calibri"/>
              </w:rPr>
              <w:t xml:space="preserve">README.md</w:t>
            </w:r>
          </w:p>
        </w:tc>
        <w:tc>
          <w:tcPr>
            <w:tcW w:type="dxa" w:w="6084"/>
            <w:tcMar>
              <w:top w:type="dxa" w:w="80"/>
              <w:left w:type="dxa" w:w="100"/>
              <w:bottom w:type="dxa" w:w="80"/>
              <w:right w:type="dxa" w:w="100"/>
            </w:tcMar>
          </w:tcPr>
          <w:p>
            <w:pPr>
              <w:spacing w:after="0"/>
            </w:pPr>
            <w:r>
              <w:rPr>
                <w:rFonts w:ascii="Calibri" w:cs="Calibri" w:eastAsia="Calibri" w:hAnsi="Calibri"/>
              </w:rPr>
              <w:t xml:space="preserve">Documentación técnica del repositorio (este documento en Word es su versión adaptada para usuarios de la carpeta compartida).</w:t>
            </w:r>
          </w:p>
        </w:tc>
      </w:tr>
      <w:tr>
        <w:tc>
          <w:tcPr>
            <w:tcW w:type="dxa" w:w="3276"/>
            <w:tcMar>
              <w:top w:type="dxa" w:w="80"/>
              <w:left w:type="dxa" w:w="100"/>
              <w:bottom w:type="dxa" w:w="80"/>
              <w:right w:type="dxa" w:w="100"/>
            </w:tcMar>
          </w:tcPr>
          <w:p>
            <w:pPr>
              <w:spacing w:after="0"/>
            </w:pPr>
            <w:r>
              <w:rPr>
                <w:rFonts w:ascii="Calibri" w:cs="Calibri" w:eastAsia="Calibri" w:hAnsi="Calibri"/>
              </w:rPr>
              <w:t>Manual Torre de Control - CCR.docx</w:t>
            </w:r>
          </w:p>
        </w:tc>
        <w:tc>
          <w:tcPr>
            <w:tcW w:type="dxa" w:w="6084"/>
            <w:tcMar>
              <w:top w:type="dxa" w:w="80"/>
              <w:left w:type="dxa" w:w="100"/>
              <w:bottom w:type="dxa" w:w="80"/>
              <w:right w:type="dxa" w:w="100"/>
            </w:tcMar>
          </w:tcPr>
          <w:p>
            <w:pPr>
              <w:spacing w:after="0"/>
            </w:pPr>
            <w:r>
              <w:rPr>
                <w:rFonts w:ascii="Calibri" w:cs="Calibri" w:eastAsia="Calibri" w:hAnsi="Calibri"/>
              </w:rPr>
              <w:t>Este manual: versión en Word del README.md para quienes actualizan los datos desde la carpeta compartida.</w:t>
            </w:r>
          </w:p>
        </w:tc>
      </w:tr>
    </w:tbl>
    <w:p>
      <w:pPr>
        <w:pStyle w:val="Heading2"/>
        <w:spacing w:after="120" w:before="240"/>
      </w:pPr>
      <w:r>
        <w:t xml:space="preserve">Hojas del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Hoja</w:t>
            </w:r>
          </w:p>
        </w:tc>
        <w:tc>
          <w:tcPr>
            <w:tcW w:type="dxa" w:w="6552"/>
            <w:shd w:fill="1F4E79" w:val="clear"/>
            <w:tcMar>
              <w:top w:type="dxa" w:w="80"/>
              <w:left w:type="dxa" w:w="100"/>
              <w:bottom w:type="dxa" w:w="80"/>
              <w:right w:type="dxa" w:w="100"/>
            </w:tcMar>
          </w:tcPr>
          <w:p>
            <w:pPr>
              <w:spacing w:after="0"/>
            </w:pPr>
            <w:r>
              <w:rPr>
                <w:rFonts w:ascii="Calibri" w:cs="Calibri" w:eastAsia="Calibri" w:hAnsi="Calibri"/>
                <w:b/>
                <w:bCs/>
                <w:color w:val="FFFFFF"/>
                <w:sz w:val="20"/>
                <w:szCs w:val="20"/>
              </w:rPr>
              <w:t xml:space="preserve">Contenido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 criticos</w:t>
            </w:r>
          </w:p>
        </w:tc>
        <w:tc>
          <w:tcPr>
            <w:tcW w:type="dxa" w:w="6552"/>
            <w:tcMar>
              <w:top w:type="dxa" w:w="80"/>
              <w:left w:type="dxa" w:w="100"/>
              <w:bottom w:type="dxa" w:w="80"/>
              <w:right w:type="dxa" w:w="100"/>
            </w:tcMar>
          </w:tcPr>
          <w:p>
            <w:pPr>
              <w:spacing w:after="0"/>
            </w:pPr>
            <w:r>
              <w:rPr>
                <w:rFonts w:ascii="Calibri" w:cs="Calibri" w:eastAsia="Calibri" w:hAnsi="Calibri"/>
              </w:rPr>
              <w:t>Estado de productos por operación (Operacion, Producto Crítico, Estado, Adquisición Crítica, Riesgos/Comentarios)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productos_adquisiciones</w:t>
            </w:r>
          </w:p>
        </w:tc>
        <w:tc>
          <w:tcPr>
            <w:tcW w:type="dxa" w:w="6552"/>
            <w:tcMar>
              <w:top w:type="dxa" w:w="80"/>
              <w:left w:type="dxa" w:w="100"/>
              <w:bottom w:type="dxa" w:w="80"/>
              <w:right w:type="dxa" w:w="100"/>
            </w:tcMar>
          </w:tcPr>
          <w:p>
            <w:pPr>
              <w:spacing w:after="0"/>
            </w:pPr>
            <w:r>
              <w:rPr>
                <w:rFonts w:ascii="Calibri" w:cs="Calibri" w:eastAsia="Calibri" w:hAnsi="Calibri"/>
              </w:rPr>
              <w:t xml:space="preserve">Relación producto crítico ↔ ID de proceso de adquisición, con marca de criticidad y riesgo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equipo</w:t>
            </w:r>
          </w:p>
        </w:tc>
        <w:tc>
          <w:tcPr>
            <w:tcW w:type="dxa" w:w="6552"/>
            <w:tcMar>
              <w:top w:type="dxa" w:w="80"/>
              <w:left w:type="dxa" w:w="100"/>
              <w:bottom w:type="dxa" w:w="80"/>
              <w:right w:type="dxa" w:w="100"/>
            </w:tcMar>
          </w:tcPr>
          <w:p>
            <w:pPr>
              <w:spacing w:after="0"/>
            </w:pPr>
            <w:r>
              <w:rPr>
                <w:rFonts w:ascii="Calibri" w:cs="Calibri" w:eastAsia="Calibri" w:hAnsi="Calibri"/>
              </w:rPr>
              <w:t>Roles (filas) y personas asignadas por operación (una columna por operación)</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documentos</w:t>
            </w:r>
          </w:p>
        </w:tc>
        <w:tc>
          <w:tcPr>
            <w:tcW w:type="dxa" w:w="6552"/>
            <w:tcMar>
              <w:top w:type="dxa" w:w="80"/>
              <w:left w:type="dxa" w:w="100"/>
              <w:bottom w:type="dxa" w:w="80"/>
              <w:right w:type="dxa" w:w="100"/>
            </w:tcMar>
          </w:tcPr>
          <w:p>
            <w:pPr>
              <w:spacing w:after="0"/>
            </w:pPr>
            <w:r>
              <w:rPr>
                <w:rFonts w:ascii="Calibri" w:cs="Calibri" w:eastAsia="Calibri" w:hAnsi="Calibri"/>
              </w:rPr>
              <w:t>Matriz de documentos (Operación, Tipo de Documento, Nombre / ID, URL) con links a SharePoint (p. ej. Firma autorizada, PP, LC, ROP, PEP, Provisionamiento Portal del Cliente, entre otros)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datos_ops</w:t>
            </w:r>
          </w:p>
        </w:tc>
        <w:tc>
          <w:tcPr>
            <w:tcW w:type="dxa" w:w="6552"/>
            <w:tcMar>
              <w:top w:type="dxa" w:w="80"/>
              <w:left w:type="dxa" w:w="100"/>
              <w:bottom w:type="dxa" w:w="80"/>
              <w:right w:type="dxa" w:w="100"/>
            </w:tcMar>
          </w:tcPr>
          <w:p>
            <w:pPr>
              <w:spacing w:after="0"/>
            </w:pPr>
            <w:r>
              <w:rPr>
                <w:rFonts w:ascii="Calibri" w:cs="Calibri" w:eastAsia="Calibri" w:hAnsi="Calibri"/>
              </w:rPr>
              <w:t xml:space="preserve">Catálogo de operaciones (código, préstamo y nombre)</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resultados</w:t>
            </w:r>
          </w:p>
        </w:tc>
        <w:tc>
          <w:tcPr>
            <w:tcW w:type="dxa" w:w="6552"/>
            <w:tcMar>
              <w:top w:type="dxa" w:w="80"/>
              <w:left w:type="dxa" w:w="100"/>
              <w:bottom w:type="dxa" w:w="80"/>
              <w:right w:type="dxa" w:w="100"/>
            </w:tcMar>
          </w:tcPr>
          <w:p>
            <w:pPr>
              <w:spacing w:after="0"/>
            </w:pPr>
            <w:r>
              <w:rPr>
                <w:rFonts w:ascii="Calibri" w:cs="Calibri" w:eastAsia="Calibri" w:hAnsi="Calibri"/>
              </w:rPr>
              <w:t>Indicadores de la Matriz de Resultados (Operacion, Objetivo_ID, Objetivo_Descripcion, Indicador_ID, Indicador_Descripcion, Linea_Base, Meta, Probabilidad_Logro)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productos_resultados</w:t>
            </w:r>
          </w:p>
        </w:tc>
        <w:tc>
          <w:tcPr>
            <w:tcW w:type="dxa" w:w="6552"/>
            <w:tcMar>
              <w:top w:type="dxa" w:w="80"/>
              <w:left w:type="dxa" w:w="100"/>
              <w:bottom w:type="dxa" w:w="80"/>
              <w:right w:type="dxa" w:w="100"/>
            </w:tcMar>
          </w:tcPr>
          <w:p>
            <w:pPr>
              <w:spacing w:after="0"/>
            </w:pPr>
            <w:r>
              <w:rPr>
                <w:rFonts w:ascii="Calibri" w:cs="Calibri" w:eastAsia="Calibri" w:hAnsi="Calibri"/>
              </w:rPr>
              <w:t>Relación indicador ↔ producto (Operacion, Indicador_ID, Producto_Critico)</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comentarios_clausulas</w:t>
            </w:r>
          </w:p>
        </w:tc>
        <w:tc>
          <w:tcPr>
            <w:tcW w:type="dxa" w:w="6552"/>
            <w:tcMar>
              <w:top w:type="dxa" w:w="80"/>
              <w:left w:type="dxa" w:w="100"/>
              <w:bottom w:type="dxa" w:w="80"/>
              <w:right w:type="dxa" w:w="100"/>
            </w:tcMar>
          </w:tcPr>
          <w:p>
            <w:pPr>
              <w:spacing w:after="0"/>
            </w:pPr>
            <w:r>
              <w:rPr>
                <w:rFonts w:ascii="Calibri" w:cs="Calibri" w:eastAsia="Calibri" w:hAnsi="Calibri"/>
              </w:rPr>
              <w:t xml:space="preserve">Comentarios asociados a cláusulas vencidas</w:t>
            </w:r>
          </w:p>
        </w:tc>
      </w:tr>
      <w:tr>
        <w:tc>
          <w:tcPr>
            <w:tcW w:type="dxa" w:w="2808"/>
            <w:tcMar>
              <w:top w:type="dxa" w:w="80"/>
              <w:left w:type="dxa" w:w="100"/>
              <w:bottom w:type="dxa" w:w="80"/>
              <w:right w:type="dxa" w:w="100"/>
            </w:tcMar>
          </w:tcPr>
          <w:p>
            <w:pPr>
              <w:spacing w:after="0"/>
            </w:pPr>
            <w:r>
              <w:rPr>
                <w:rFonts w:ascii="Calibri" w:cs="Calibri" w:eastAsia="Calibri" w:hAnsi="Calibri"/>
              </w:rPr>
              <w:t xml:space="preserve">change log</w:t>
            </w:r>
          </w:p>
        </w:tc>
        <w:tc>
          <w:tcPr>
            <w:tcW w:type="dxa" w:w="6552"/>
            <w:tcMar>
              <w:top w:type="dxa" w:w="80"/>
              <w:left w:type="dxa" w:w="100"/>
              <w:bottom w:type="dxa" w:w="80"/>
              <w:right w:type="dxa" w:w="100"/>
            </w:tcMar>
          </w:tcPr>
          <w:p>
            <w:pPr>
              <w:spacing w:after="0"/>
            </w:pPr>
            <w:r>
              <w:rPr>
                <w:rFonts w:ascii="Calibri" w:cs="Calibri" w:eastAsia="Calibri" w:hAnsi="Calibri"/>
              </w:rPr>
              <w:t>Historial de cambios (Fecha de revisión, Tab de la torre, Operación, acción lograda)</w:t>
            </w:r>
          </w:p>
        </w:tc>
      </w:tr>
    </w:tbl>
    <w:p>
      <w:pPr>
        <w:pStyle w:val="Heading1"/>
        <w:spacing w:after="160" w:before="320"/>
      </w:pPr>
      <w:r>
        <w:t xml:space="preserve">Stack tecnológico</w:t>
      </w:r>
    </w:p>
    <w:p>
      <w:pPr>
        <w:pStyle w:val="ListParagraph"/>
        <w:numPr>
          <w:ilvl w:val="0"/>
          <w:numId w:val="1"/>
        </w:numPr>
        <w:spacing w:after="80"/>
      </w:pPr>
      <w:r>
        <w:rPr>
          <w:rFonts w:ascii="Calibri" w:cs="Calibri" w:eastAsia="Calibri" w:hAnsi="Calibri"/>
        </w:rPr>
        <w:t xml:space="preserve">HTML5 + JavaScript (ES6+), sin framework ni servidor</w:t>
      </w:r>
    </w:p>
    <w:p>
      <w:pPr>
        <w:pStyle w:val="ListParagraph"/>
        <w:numPr>
          <w:ilvl w:val="0"/>
          <w:numId w:val="1"/>
        </w:numPr>
        <w:spacing w:after="80"/>
      </w:pPr>
      <w:r>
        <w:rPr>
          <w:rFonts w:ascii="Calibri" w:cs="Calibri" w:eastAsia="Calibri" w:hAnsi="Calibri"/>
        </w:rPr>
        <w:t xml:space="preserve">SheetJS v0.18.5 — lectura de Excel en el navegador</w:t>
      </w:r>
    </w:p>
    <w:p>
      <w:pPr>
        <w:pStyle w:val="ListParagraph"/>
        <w:numPr>
          <w:ilvl w:val="0"/>
          <w:numId w:val="1"/>
        </w:numPr>
        <w:spacing w:after="80"/>
      </w:pPr>
      <w:r>
        <w:rPr>
          <w:rFonts w:ascii="Calibri" w:cs="Calibri" w:eastAsia="Calibri" w:hAnsi="Calibri"/>
        </w:rPr>
        <w:t>IndexedDB — caché local de datos (Excel principal, CSV, raw data por operación, PMR_Historico.xlsx, agreement_report.xlsx y fechas de última modificación)</w:t>
      </w:r>
    </w:p>
    <w:p>
      <w:pPr>
        <w:pStyle w:val="ListParagraph"/>
        <w:numPr>
          <w:ilvl w:val="0"/>
          <w:numId w:val="1"/>
        </w:numPr>
        <w:spacing w:after="80"/>
      </w:pPr>
      <w:r>
        <w:rPr>
          <w:rFonts w:ascii="Calibri" w:cs="Calibri" w:eastAsia="Calibri" w:hAnsi="Calibri"/>
        </w:rPr>
        <w:t xml:space="preserve">GitHub Pages — hosting estático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abstractNum w:abstractNumId="4" w15:restartNumberingAfterBreak="0">
    <w:multiLevelType w:val="hybridMultilevel"/>
    <w:lvl w:ilvl="0" w15:tentative="1">
      <w:start w:val="1"/>
      <w:numFmt w:val="decimal"/>
      <w:lvlText w:val="%1."/>
      <w:lvlJc w:val="start"/>
    </w:lvl>
  </w:abstractNum>
  <w:abstractNum w:abstractNumId="5" w15:restartNumberingAfterBreak="0">
    <w:multiLevelType w:val="hybridMultilevel"/>
    <w:lvl w:ilvl="0" w15:tentative="1">
      <w:start w:val="1"/>
      <w:numFmt w:val="decimal"/>
      <w:lvlText w:val="%1."/>
      <w:lvlJc w:val="start"/>
    </w:lvl>
  </w:abstractNum>
  <w:abstractNum w:abstractNumId="6" w15:restartNumberingAfterBreak="0">
    <w:multiLevelType w:val="hybridMultilevel"/>
    <w:lvl w:ilvl="0" w15:tentative="1">
      <w:start w:val="1"/>
      <w:numFmt w:val="decimal"/>
      <w:lvlText w:val="%1."/>
      <w:lvlJc w:val="start"/>
    </w:lvl>
  </w:abstractNum>
  <w:abstractNum w:abstractNumId="7"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pixq1tdvmcd6-mol0kvm" Type="http://schemas.openxmlformats.org/officeDocument/2006/relationships/hyperlink" Target="https://aborbonm.github.io/torre-control-ccr/"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2026-08-28T22:56:28.787Z</dcterms:created>
  <dcterms:modified xsi:type="dcterms:W3CDTF">2026-08-28T22:56:28.787Z</dcterms:modified>
</cp:coreProperties>
</file>

<file path=docProps/custom.xml><?xml version="1.0" encoding="utf-8"?>
<Properties xmlns="http://schemas.openxmlformats.org/officeDocument/2006/custom-properties" xmlns:vt="http://schemas.openxmlformats.org/officeDocument/2006/docPropsVTypes"/>
</file>