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 Se actualiza automáticamente cada lunes (ver sección CSV).</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pPr>
        <w:spacing w:after="160"/>
      </w:pPr>
      <w:r>
        <w:t xml:space="preserve">El CSV se puede actualizar de dos formas. Las dos son válidas: la automática es la habitual y la manual sirve cuando se necesita un dato más reciente entre lunes o si la automática falla.</w:t>
      </w:r>
    </w:p>
    <w:p>
      <w:pPr>
        <w:pStyle w:val="Heading3"/>
        <w:spacing w:before="200" w:after="100"/>
      </w:pPr>
      <w:r>
        <w:t xml:space="preserve">Actualización automática (todos los lunes)</w:t>
      </w:r>
    </w:p>
    <w:p>
      <w:pPr>
        <w:pStyle w:val="ListParagraph"/>
        <w:numPr>
          <w:ilvl w:val="0"/>
          <w:numId w:val="15"/>
        </w:numPr>
        <w:spacing w:after="80"/>
      </w:pPr>
      <w:r>
        <w:t xml:space="preserve">Una </w:t>
      </w:r>
      <w:r>
        <w:rPr>
          <w:b/>
          <w:bCs/>
        </w:rPr>
        <w:t xml:space="preserve">suscripción en PowerBI</w:t>
      </w:r>
      <w:r>
        <w:t xml:space="preserve"> al reporte de cláusulas contractuales envía por correo, </w:t>
      </w:r>
      <w:r>
        <w:rPr>
          <w:b/>
          <w:bCs/>
        </w:rPr>
        <w:t xml:space="preserve">todos los lunes a las 9:00 a.m.</w:t>
      </w:r>
      <w:r>
        <w:t xml:space="preserve">, una versión actualizada del CSV como adjunto. La suscripción debe mantener los mismos filtros de la descarga manual (ver abajo).</w:t>
      </w:r>
    </w:p>
    <w:p>
      <w:pPr>
        <w:pStyle w:val="ListParagraph"/>
        <w:numPr>
          <w:ilvl w:val="0"/>
          <w:numId w:val="15"/>
        </w:numPr>
        <w:spacing w:after="80"/>
      </w:pPr>
      <w:r>
        <w:t xml:space="preserve">Un flujo de </w:t>
      </w:r>
      <w:r>
        <w:rPr>
          <w:b/>
          <w:bCs/>
        </w:rPr>
        <w:t xml:space="preserve">Microsoft Power Automate</w:t>
      </w:r>
      <w:r>
        <w:t xml:space="preserve"> (Torre CCR – Actualizar CSV cláusulas) detecta ese correo y guarda el adjunto en la carpeta compartida de Torre de Control, </w:t>
      </w:r>
      <w:r>
        <w:rPr>
          <w:b/>
          <w:bCs/>
        </w:rPr>
        <w:t xml:space="preserve">sobrescribiendo</w:t>
      </w:r>
      <w:r>
        <w:t xml:space="preserve"> </w:t>
      </w:r>
      <w:r>
        <w:rPr>
          <w:rFonts w:ascii="Consolas" w:hAnsi="Consolas"/>
        </w:rPr>
        <w:t xml:space="preserve">Status Date Clause Operation.csv</w:t>
      </w:r>
      <w:r>
        <w:t xml:space="preserve">. El flujo siempre usa ese nombre exacto, aunque el adjunto llegue con otro.</w:t>
      </w:r>
    </w:p>
    <w:p>
      <w:pPr>
        <w:pStyle w:val="ListParagraph"/>
        <w:numPr>
          <w:ilvl w:val="0"/>
          <w:numId w:val="15"/>
        </w:numPr>
        <w:spacing w:after="80"/>
      </w:pPr>
      <w:r>
        <w:t xml:space="preserve">El administrador de la aplicación revisa el CSV actualizado y realiza el commit en el repositorio. Las personas usuarias no necesitan hacer nada para esta actualización semanal.</w:t>
      </w:r>
    </w:p>
    <w:p>
      <w:pPr>
        <w:spacing w:after="100"/>
      </w:pPr>
      <w:r>
        <w:t xml:space="preserve">Estructura del flujo, como referencia para revisarlo o recrearlo: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3000"/>
        <w:gridCol w:w="5860"/>
      </w:tblGrid>
      <w:tr>
        <w:trPr>
          <w:tblHeader/>
        </w:trPr>
        <w:tc>
          <w:tcPr>
            <w:tcW w:w="500" w:type="dxa"/>
            <w:shd w:val="clear" w:color="auto" w:fill="1F4E79"/>
            <w:tcMar>
              <w:top w:w="80" w:type="dxa"/>
              <w:left w:w="100" w:type="dxa"/>
              <w:bottom w:w="80" w:type="dxa"/>
              <w:right w:w="100" w:type="dxa"/>
            </w:tcMar>
          </w:tcPr>
          <w:p>
            <w:pPr>
              <w:spacing w:after="0"/>
            </w:pPr>
            <w:r>
              <w:rPr>
                <w:color w:val="FFFFFF"/>
                <w:sz w:val="20"/>
                <w:szCs w:val="20"/>
                <w:b/>
                <w:bCs/>
              </w:rPr>
              <w:t xml:space="preserve">#</w:t>
            </w:r>
          </w:p>
        </w:tc>
        <w:tc>
          <w:tcPr>
            <w:tcW w:w="3000" w:type="dxa"/>
            <w:shd w:val="clear" w:color="auto" w:fill="1F4E79"/>
            <w:tcMar>
              <w:top w:w="80" w:type="dxa"/>
              <w:left w:w="100" w:type="dxa"/>
              <w:bottom w:w="80" w:type="dxa"/>
              <w:right w:w="100" w:type="dxa"/>
            </w:tcMar>
          </w:tcPr>
          <w:p>
            <w:pPr>
              <w:spacing w:after="0"/>
            </w:pPr>
            <w:r>
              <w:rPr>
                <w:color w:val="FFFFFF"/>
                <w:sz w:val="20"/>
                <w:szCs w:val="20"/>
                <w:b/>
                <w:bCs/>
              </w:rPr>
              <w:t xml:space="preserve">Acción</w:t>
            </w:r>
          </w:p>
        </w:tc>
        <w:tc>
          <w:tcPr>
            <w:tcW w:w="5860" w:type="dxa"/>
            <w:shd w:val="clear" w:color="auto" w:fill="1F4E79"/>
            <w:tcMar>
              <w:top w:w="80" w:type="dxa"/>
              <w:left w:w="100" w:type="dxa"/>
              <w:bottom w:w="80" w:type="dxa"/>
              <w:right w:w="100" w:type="dxa"/>
            </w:tcMar>
          </w:tcPr>
          <w:p>
            <w:pPr>
              <w:spacing w:after="0"/>
            </w:pPr>
            <w:r>
              <w:rPr>
                <w:color w:val="FFFFFF"/>
                <w:sz w:val="20"/>
                <w:szCs w:val="20"/>
                <w:b/>
                <w:bCs/>
              </w:rPr>
              <w:t xml:space="preserve">Configuración</w:t>
            </w:r>
          </w:p>
        </w:tc>
      </w:tr>
      <w:tr>
        <w:trPr>
          <w:cantSplit/>
        </w:trPr>
        <w:tc>
          <w:tcPr>
            <w:tcW w:w="500" w:type="dxa"/>
            <w:tcMar>
              <w:top w:w="80" w:type="dxa"/>
              <w:left w:w="100" w:type="dxa"/>
              <w:bottom w:w="80" w:type="dxa"/>
              <w:right w:w="100" w:type="dxa"/>
            </w:tcMar>
          </w:tcPr>
          <w:p>
            <w:pPr>
              <w:spacing w:after="0"/>
            </w:pPr>
            <w:r>
              <w:rPr>
                <w:sz w:val="20"/>
                <w:szCs w:val="20"/>
              </w:rPr>
              <w:t xml:space="preserve">1</w:t>
            </w:r>
          </w:p>
        </w:tc>
        <w:tc>
          <w:tcPr>
            <w:tcW w:w="3000" w:type="dxa"/>
            <w:tcMar>
              <w:top w:w="80" w:type="dxa"/>
              <w:left w:w="100" w:type="dxa"/>
              <w:bottom w:w="80" w:type="dxa"/>
              <w:right w:w="100" w:type="dxa"/>
            </w:tcMar>
          </w:tcPr>
          <w:p>
            <w:pPr>
              <w:spacing w:after="0"/>
            </w:pPr>
            <w:r>
              <w:rPr>
                <w:sz w:val="20"/>
                <w:szCs w:val="20"/>
              </w:rPr>
              <w:t xml:space="preserve">When a new email arrives (V3) (Office 365 Outlook)</w:t>
            </w:r>
          </w:p>
        </w:tc>
        <w:tc>
          <w:tcPr>
            <w:tcW w:w="5860" w:type="dxa"/>
            <w:tcMar>
              <w:top w:w="80" w:type="dxa"/>
              <w:left w:w="100" w:type="dxa"/>
              <w:bottom w:w="80" w:type="dxa"/>
              <w:right w:w="100" w:type="dxa"/>
            </w:tcMar>
          </w:tcPr>
          <w:p>
            <w:pPr>
              <w:spacing w:after="0"/>
            </w:pPr>
            <w:r>
              <w:rPr>
                <w:sz w:val="20"/>
                <w:szCs w:val="20"/>
              </w:rPr>
              <w:t xml:space="preserve">Remitente y filtro de asunto del correo de la suscripción; Include Attachments = Yes; Only with Attachments = Yes</w:t>
            </w:r>
          </w:p>
        </w:tc>
      </w:tr>
      <w:tr>
        <w:trPr>
          <w:cantSplit/>
        </w:trPr>
        <w:tc>
          <w:tcPr>
            <w:tcW w:w="500" w:type="dxa"/>
            <w:tcMar>
              <w:top w:w="80" w:type="dxa"/>
              <w:left w:w="100" w:type="dxa"/>
              <w:bottom w:w="80" w:type="dxa"/>
              <w:right w:w="100" w:type="dxa"/>
            </w:tcMar>
          </w:tcPr>
          <w:p>
            <w:pPr>
              <w:spacing w:after="0"/>
            </w:pPr>
            <w:r>
              <w:rPr>
                <w:sz w:val="20"/>
                <w:szCs w:val="20"/>
              </w:rPr>
              <w:t xml:space="preserve">2</w:t>
            </w:r>
          </w:p>
        </w:tc>
        <w:tc>
          <w:tcPr>
            <w:tcW w:w="3000" w:type="dxa"/>
            <w:tcMar>
              <w:top w:w="80" w:type="dxa"/>
              <w:left w:w="100" w:type="dxa"/>
              <w:bottom w:w="80" w:type="dxa"/>
              <w:right w:w="100" w:type="dxa"/>
            </w:tcMar>
          </w:tcPr>
          <w:p>
            <w:pPr>
              <w:spacing w:after="0"/>
            </w:pPr>
            <w:r>
              <w:rPr>
                <w:sz w:val="20"/>
                <w:szCs w:val="20"/>
              </w:rPr>
              <w:t xml:space="preserve">Apply to each</w:t>
            </w:r>
          </w:p>
        </w:tc>
        <w:tc>
          <w:tcPr>
            <w:tcW w:w="5860" w:type="dxa"/>
            <w:tcMar>
              <w:top w:w="80" w:type="dxa"/>
              <w:left w:w="100" w:type="dxa"/>
              <w:bottom w:w="80" w:type="dxa"/>
              <w:right w:w="100" w:type="dxa"/>
            </w:tcMar>
          </w:tcPr>
          <w:p>
            <w:pPr>
              <w:spacing w:after="0"/>
            </w:pPr>
            <w:r>
              <w:rPr>
                <w:sz w:val="20"/>
                <w:szCs w:val="20"/>
              </w:rPr>
              <w:t xml:space="preserve">Sobre Attachments del paso 1</w:t>
            </w:r>
          </w:p>
        </w:tc>
      </w:tr>
      <w:tr>
        <w:trPr>
          <w:cantSplit/>
        </w:trPr>
        <w:tc>
          <w:tcPr>
            <w:tcW w:w="500" w:type="dxa"/>
            <w:tcMar>
              <w:top w:w="80" w:type="dxa"/>
              <w:left w:w="100" w:type="dxa"/>
              <w:bottom w:w="80" w:type="dxa"/>
              <w:right w:w="100" w:type="dxa"/>
            </w:tcMar>
          </w:tcPr>
          <w:p>
            <w:pPr>
              <w:spacing w:after="0"/>
            </w:pPr>
            <w:r>
              <w:rPr>
                <w:sz w:val="20"/>
                <w:szCs w:val="20"/>
              </w:rPr>
              <w:t xml:space="preserve">3</w:t>
            </w:r>
          </w:p>
        </w:tc>
        <w:tc>
          <w:tcPr>
            <w:tcW w:w="3000" w:type="dxa"/>
            <w:tcMar>
              <w:top w:w="80" w:type="dxa"/>
              <w:left w:w="100" w:type="dxa"/>
              <w:bottom w:w="80" w:type="dxa"/>
              <w:right w:w="100" w:type="dxa"/>
            </w:tcMar>
          </w:tcPr>
          <w:p>
            <w:pPr>
              <w:spacing w:after="0"/>
            </w:pPr>
            <w:r>
              <w:rPr>
                <w:sz w:val="20"/>
                <w:szCs w:val="20"/>
              </w:rPr>
              <w:t xml:space="preserve">Condition</w:t>
            </w:r>
          </w:p>
        </w:tc>
        <w:tc>
          <w:tcPr>
            <w:tcW w:w="5860" w:type="dxa"/>
            <w:tcMar>
              <w:top w:w="80" w:type="dxa"/>
              <w:left w:w="100" w:type="dxa"/>
              <w:bottom w:w="80" w:type="dxa"/>
              <w:right w:w="100" w:type="dxa"/>
            </w:tcMar>
          </w:tcPr>
          <w:p>
            <w:pPr>
              <w:spacing w:after="0"/>
            </w:pPr>
            <w:r>
              <w:rPr>
                <w:sz w:val="20"/>
                <w:szCs w:val="20"/>
              </w:rPr>
              <w:t xml:space="preserve">Attachments Name ends with </w:t>
            </w:r>
            <w:r>
              <w:rPr>
                <w:sz w:val="20"/>
                <w:szCs w:val="20"/>
                <w:rFonts w:ascii="Consolas" w:hAnsi="Consolas"/>
              </w:rPr>
              <w:t xml:space="preserve">.csv</w:t>
            </w:r>
            <w:r>
              <w:rPr>
                <w:sz w:val="20"/>
                <w:szCs w:val="20"/>
              </w:rPr>
              <w:t xml:space="preserve"> (las acciones siguientes van en la rama True)</w:t>
            </w:r>
          </w:p>
        </w:tc>
      </w:tr>
      <w:tr>
        <w:trPr>
          <w:cantSplit/>
        </w:trPr>
        <w:tc>
          <w:tcPr>
            <w:tcW w:w="500" w:type="dxa"/>
            <w:tcMar>
              <w:top w:w="80" w:type="dxa"/>
              <w:left w:w="100" w:type="dxa"/>
              <w:bottom w:w="80" w:type="dxa"/>
              <w:right w:w="100" w:type="dxa"/>
            </w:tcMar>
          </w:tcPr>
          <w:p>
            <w:pPr>
              <w:spacing w:after="0"/>
            </w:pPr>
            <w:r>
              <w:rPr>
                <w:sz w:val="20"/>
                <w:szCs w:val="20"/>
              </w:rPr>
              <w:t xml:space="preserve">4</w:t>
            </w:r>
          </w:p>
        </w:tc>
        <w:tc>
          <w:tcPr>
            <w:tcW w:w="3000" w:type="dxa"/>
            <w:tcMar>
              <w:top w:w="80" w:type="dxa"/>
              <w:left w:w="100" w:type="dxa"/>
              <w:bottom w:w="80" w:type="dxa"/>
              <w:right w:w="100" w:type="dxa"/>
            </w:tcMar>
          </w:tcPr>
          <w:p>
            <w:pPr>
              <w:spacing w:after="0"/>
            </w:pPr>
            <w:r>
              <w:rPr>
                <w:sz w:val="20"/>
                <w:szCs w:val="20"/>
              </w:rPr>
              <w:t xml:space="preserve">Get file metadata using path (OneDrive for Business)</w:t>
            </w:r>
          </w:p>
        </w:tc>
        <w:tc>
          <w:tcPr>
            <w:tcW w:w="5860" w:type="dxa"/>
            <w:tcMar>
              <w:top w:w="80" w:type="dxa"/>
              <w:left w:w="100" w:type="dxa"/>
              <w:bottom w:w="80" w:type="dxa"/>
              <w:right w:w="100" w:type="dxa"/>
            </w:tcMar>
          </w:tcPr>
          <w:p>
            <w:pPr>
              <w:spacing w:after="0"/>
            </w:pPr>
            <w:r>
              <w:rPr>
                <w:sz w:val="20"/>
                <w:szCs w:val="20"/>
              </w:rPr>
              <w:t xml:space="preserve">Ruta del CSV en la carpeta de Torre de Control</w:t>
            </w:r>
          </w:p>
        </w:tc>
      </w:tr>
      <w:tr>
        <w:trPr>
          <w:cantSplit/>
        </w:trPr>
        <w:tc>
          <w:tcPr>
            <w:tcW w:w="500" w:type="dxa"/>
            <w:tcMar>
              <w:top w:w="80" w:type="dxa"/>
              <w:left w:w="100" w:type="dxa"/>
              <w:bottom w:w="80" w:type="dxa"/>
              <w:right w:w="100" w:type="dxa"/>
            </w:tcMar>
          </w:tcPr>
          <w:p>
            <w:pPr>
              <w:spacing w:after="0"/>
            </w:pPr>
            <w:r>
              <w:rPr>
                <w:sz w:val="20"/>
                <w:szCs w:val="20"/>
              </w:rPr>
              <w:t xml:space="preserve">5</w:t>
            </w:r>
          </w:p>
        </w:tc>
        <w:tc>
          <w:tcPr>
            <w:tcW w:w="3000" w:type="dxa"/>
            <w:tcMar>
              <w:top w:w="80" w:type="dxa"/>
              <w:left w:w="100" w:type="dxa"/>
              <w:bottom w:w="80" w:type="dxa"/>
              <w:right w:w="100" w:type="dxa"/>
            </w:tcMar>
          </w:tcPr>
          <w:p>
            <w:pPr>
              <w:spacing w:after="0"/>
            </w:pPr>
            <w:r>
              <w:rPr>
                <w:sz w:val="20"/>
                <w:szCs w:val="20"/>
              </w:rPr>
              <w:t xml:space="preserve">Update file (OneDrive for Business)</w:t>
            </w:r>
          </w:p>
        </w:tc>
        <w:tc>
          <w:tcPr>
            <w:tcW w:w="5860" w:type="dxa"/>
            <w:tcMar>
              <w:top w:w="80" w:type="dxa"/>
              <w:left w:w="100" w:type="dxa"/>
              <w:bottom w:w="80" w:type="dxa"/>
              <w:right w:w="100" w:type="dxa"/>
            </w:tcMar>
          </w:tcPr>
          <w:p>
            <w:pPr>
              <w:spacing w:after="0"/>
            </w:pPr>
            <w:r>
              <w:rPr>
                <w:sz w:val="20"/>
                <w:szCs w:val="20"/>
              </w:rPr>
              <w:t xml:space="preserve">File = Id del paso 4; File Content = Attachments Content</w:t>
            </w:r>
          </w:p>
        </w:tc>
      </w:tr>
      <w:tr>
        <w:trPr>
          <w:cantSplit/>
        </w:trPr>
        <w:tc>
          <w:tcPr>
            <w:tcW w:w="500" w:type="dxa"/>
            <w:tcMar>
              <w:top w:w="80" w:type="dxa"/>
              <w:left w:w="100" w:type="dxa"/>
              <w:bottom w:w="80" w:type="dxa"/>
              <w:right w:w="100" w:type="dxa"/>
            </w:tcMar>
          </w:tcPr>
          <w:p>
            <w:pPr>
              <w:spacing w:after="0"/>
            </w:pPr>
            <w:r>
              <w:rPr>
                <w:sz w:val="20"/>
                <w:szCs w:val="20"/>
              </w:rPr>
              <w:t xml:space="preserve">6</w:t>
            </w:r>
          </w:p>
        </w:tc>
        <w:tc>
          <w:tcPr>
            <w:tcW w:w="3000" w:type="dxa"/>
            <w:tcMar>
              <w:top w:w="80" w:type="dxa"/>
              <w:left w:w="100" w:type="dxa"/>
              <w:bottom w:w="80" w:type="dxa"/>
              <w:right w:w="100" w:type="dxa"/>
            </w:tcMar>
          </w:tcPr>
          <w:p>
            <w:pPr>
              <w:spacing w:after="0"/>
            </w:pPr>
            <w:r>
              <w:rPr>
                <w:sz w:val="20"/>
                <w:szCs w:val="20"/>
              </w:rPr>
              <w:t xml:space="preserve">Create file (OneDrive for Business)</w:t>
            </w:r>
          </w:p>
        </w:tc>
        <w:tc>
          <w:tcPr>
            <w:tcW w:w="5860" w:type="dxa"/>
            <w:tcMar>
              <w:top w:w="80" w:type="dxa"/>
              <w:left w:w="100" w:type="dxa"/>
              <w:bottom w:w="80" w:type="dxa"/>
              <w:right w:w="100" w:type="dxa"/>
            </w:tcMar>
          </w:tcPr>
          <w:p>
            <w:pPr>
              <w:spacing w:after="0"/>
            </w:pPr>
            <w:r>
              <w:rPr>
                <w:sz w:val="20"/>
                <w:szCs w:val="20"/>
              </w:rPr>
              <w:t xml:space="preserve">Respaldo si el archivo no existe: carpeta de Torre de Control, nombre </w:t>
            </w:r>
            <w:r>
              <w:rPr>
                <w:sz w:val="20"/>
                <w:szCs w:val="20"/>
                <w:rFonts w:ascii="Consolas" w:hAnsi="Consolas"/>
              </w:rPr>
              <w:t xml:space="preserve">Status Date Clause Operation.csv</w:t>
            </w:r>
            <w:r>
              <w:rPr>
                <w:sz w:val="20"/>
                <w:szCs w:val="20"/>
              </w:rPr>
              <w:t xml:space="preserve">, contenido = Attachments Content. En Settings → Run after de Update file: solo has failed e is skipped</w:t>
            </w:r>
          </w:p>
        </w:tc>
      </w:tr>
    </w:tbl>
    <w:p>
      <w:pPr>
        <w:spacing w:after="60"/>
      </w:pPr>
    </w:p>
    <w:p>
      <w:pPr>
        <w:spacing w:after="80"/>
      </w:pPr>
      <w:r>
        <w:t xml:space="preserve">Si el lunes el CSV no se actualizó (la fecha de modificación del archivo en la carpeta compartida no es la del día):</w:t>
      </w:r>
    </w:p>
    <w:p>
      <w:pPr>
        <w:pStyle w:val="ListParagraph"/>
        <w:numPr>
          <w:ilvl w:val="0"/>
          <w:numId w:val="8"/>
        </w:numPr>
        <w:spacing w:after="80"/>
      </w:pPr>
      <w:r>
        <w:t xml:space="preserve">Avisa al administrador de la aplicación, que revisará el historial de ejecuciones del flujo en make.powerautomate.com → My flows.</w:t>
      </w:r>
    </w:p>
    <w:p>
      <w:pPr>
        <w:pStyle w:val="ListParagraph"/>
        <w:numPr>
          <w:ilvl w:val="0"/>
          <w:numId w:val="8"/>
        </w:numPr>
        <w:spacing w:after="80"/>
      </w:pPr>
      <w:r>
        <w:t xml:space="preserve">Causas habituales: cambió el remitente o el asunto del correo de la suscripción; el correo llegó sin adjunto; venció la conexión de Outlook u OneDrive; o el CSV se borró de la carpeta.</w:t>
      </w:r>
    </w:p>
    <w:p>
      <w:pPr>
        <w:pStyle w:val="ListParagraph"/>
        <w:numPr>
          <w:ilvl w:val="0"/>
          <w:numId w:val="8"/>
        </w:numPr>
        <w:spacing w:after="80"/>
      </w:pPr>
      <w:r>
        <w:t xml:space="preserve">Mientras se resuelve, usa la actualización manual.</w:t>
      </w:r>
    </w:p>
    <w:p>
      <w:pPr>
        <w:pStyle w:val="Heading3"/>
        <w:spacing w:before="200" w:after="100"/>
      </w:pPr>
      <w:r>
        <w:t xml:space="preserve">Actualización manual (descarga desde PowerBI)</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pPr>
        <w:spacing w:after="160"/>
      </w:pPr>
      <w:r>
        <w:t xml:space="preserve">Guarda el archivo con el nombre exacto </w:t>
      </w:r>
      <w:r>
        <w:rPr>
          <w:rFonts w:ascii="Consolas" w:hAnsi="Consolas"/>
        </w:rPr>
        <w:t xml:space="preserve">Status Date Clause Operation.csv</w:t>
      </w:r>
      <w:r>
        <w:t xml:space="preserve">, reemplaza el correspondiente en la carpeta compartida y avisa al administrador de la aplicación (ver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Visor de adquisiciones (propuesta)</w:t>
      </w:r>
    </w:p>
    <w:p w14:paraId="28AC7E3D" w14:textId="77777777" w:rsidR="00AF2573" w:rsidRDefault="00000000">
      <w:pPr>
        <w:spacing w:after="160"/>
      </w:pPr>
      <w:r>
        <w:rPr>
          <w:b/>
        </w:rPr>
        <w:t>visor-adquisiciones.html</w:t>
      </w:r>
      <w:r>
        <w:t xml:space="preserve"> es una página aparte (no modifica el dashboard) que muestra los procesos de adquisición de cada operación como un diagrama de Gantt, a partir de los archivos de la subcarpeta clientportal (Raw Data + Contracts and Amendments). Se abre en aborbonm.github.io/torre-control-ccr/visor-adquisiciones.html y tiene un enlace de vuelta a la Torre de Control.</w:t>
      </w:r>
    </w:p>
    <w:p w14:paraId="28AC7E34" w14:textId="77777777" w:rsidR="00AF2573" w:rsidRDefault="00000000">
      <w:pPr>
        <w:pStyle w:val="ListParagraph"/>
        <w:numPr>
          <w:ilvl w:val="0"/>
          <w:numId w:val="8"/>
        </w:numPr>
        <w:spacing w:after="80"/>
      </w:pPr>
      <w:r>
        <w:rPr>
          <w:b/>
        </w:rPr>
        <w:t>Una barra por proceso</w:t>
      </w:r>
      <w:r>
        <w:t xml:space="preserve">, segmentada por fase según el hito que se busca cumplir: inicio / publicación, apertura de ofertas, evaluación, adjudicación y firma del contrato (hoja Hitos), más la </w:t>
      </w:r>
      <w:r>
        <w:rPr>
          <w:b/>
        </w:rPr>
        <w:t>ejecución del contrato</w:t>
      </w:r>
      <w:r>
        <w:t xml:space="preserve"> (de la firma al fin estimado vigente, con enmiendas; barra más delgada).</w:t>
      </w:r>
    </w:p>
    <w:p w14:paraId="28AC7E34" w14:textId="77777777" w:rsidR="00AF2573" w:rsidRDefault="00000000">
      <w:pPr>
        <w:pStyle w:val="ListParagraph"/>
        <w:numPr>
          <w:ilvl w:val="0"/>
          <w:numId w:val="8"/>
        </w:numPr>
        <w:spacing w:after="80"/>
      </w:pPr>
      <w:r>
        <w:t xml:space="preserve">La fecha de cada hito es la </w:t>
      </w:r>
      <w:r>
        <w:rPr>
          <w:b/>
        </w:rPr>
        <w:t>real</w:t>
      </w:r>
      <w:r>
        <w:t xml:space="preserve">; si no hay, la </w:t>
      </w:r>
      <w:r>
        <w:rPr>
          <w:b/>
        </w:rPr>
        <w:t>re-estimada</w:t>
      </w:r>
      <w:r>
        <w:t xml:space="preserve">; si no, la </w:t>
      </w:r>
      <w:r>
        <w:rPr>
          <w:b/>
        </w:rPr>
        <w:t>estimada</w:t>
      </w:r>
      <w:r>
        <w:t>. Los tramos cumplidos se ven sólidos y los estimados, rayados.</w:t>
      </w:r>
    </w:p>
    <w:p w14:paraId="28AC7E34" w14:textId="77777777" w:rsidR="00AF2573" w:rsidRDefault="00000000">
      <w:pPr>
        <w:pStyle w:val="ListParagraph"/>
        <w:numPr>
          <w:ilvl w:val="0"/>
          <w:numId w:val="8"/>
        </w:numPr>
        <w:spacing w:after="80"/>
      </w:pPr>
      <w:r>
        <w:t xml:space="preserve">Un hito con fecha estimada vencida y sin fecha real se marca como </w:t>
      </w:r>
      <w:r>
        <w:rPr>
          <w:b/>
        </w:rPr>
        <w:t>atraso</w:t>
      </w:r>
      <w:r>
        <w:t xml:space="preserve"> (anillo rojo en el hito y línea punteada roja hasta hoy).</w:t>
      </w:r>
    </w:p>
    <w:p w14:paraId="28AC7E34" w14:textId="77777777" w:rsidR="00AF2573" w:rsidRDefault="00000000">
      <w:pPr>
        <w:pStyle w:val="ListParagraph"/>
        <w:numPr>
          <w:ilvl w:val="0"/>
          <w:numId w:val="8"/>
        </w:numPr>
        <w:spacing w:after="80"/>
      </w:pPr>
      <w:r>
        <w:t>Filtros por operación, etapa (previstos, en curso, contrato en ejecución, cerrados), solo adquisiciones críticas (según productos_adquisiciones), rango de tiempo y búsqueda. Al hacer clic en un proceso se despliega la tabla de sus hitos y sus contratos.</w:t>
      </w:r>
    </w:p>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visor-adquisiciones.html</w:t>
            </w:r>
          </w:p>
        </w:tc>
        <w:tc>
          <w:tcPr>
            <w:tcW w:w="6084" w:type="dxa"/>
            <w:tcMar>
              <w:top w:w="80" w:type="dxa"/>
              <w:left w:w="100" w:type="dxa"/>
              <w:bottom w:w="80" w:type="dxa"/>
              <w:right w:w="100" w:type="dxa"/>
            </w:tcMar>
          </w:tcPr>
          <w:p w14:paraId="28AC7ED0" w14:textId="77777777" w:rsidR="00AF2573" w:rsidRDefault="00000000">
            <w:proofErr w:type="spellStart"/>
            <w:r>
              <w:t>Propuesta de visor Gantt de procesos de adquisición (ver "Visor de adquisiciones (propuesta)").</w:t>
            </w:r>
            <w:proofErr w:type="spellEnd"/>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 llega cada lunes por suscripción y lo copia un flujo de Power Automate).</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pPr>
        <w:pStyle w:val="Heading1"/>
        <w:spacing w:before="320" w:after="160"/>
      </w:pPr>
      <w:r>
        <w:t xml:space="preserve">Skills de Claude que dan soporte a la Torre de Control</w:t>
      </w:r>
    </w:p>
    <w:p>
      <w:pPr>
        <w:spacing w:after="160"/>
      </w:pPr>
      <w:r>
        <w:t xml:space="preserve">Además del dashboard, el proyecto cuenta con skills de Claude: instrucciones empaquetadas que automatizan tareas recurrentes alrededor de la Torre de Control. Se usan desde Claude (app de escritorio o claude.ai), con la carpeta compartida conectada. Se activan pidiendo la tarea en lenguaje natural (por ejemplo, "actualiza la torre con esta ayuda memoria") o por su nombre como comando (</w:t>
      </w:r>
      <w:r>
        <w:rPr>
          <w:rFonts w:ascii="Consolas" w:hAnsi="Consolas"/>
        </w:rPr>
        <w:t xml:space="preserve">/torre-control-...</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60"/>
        <w:gridCol w:w="2200"/>
        <w:gridCol w:w="1900"/>
        <w:gridCol w:w="2700"/>
      </w:tblGrid>
      <w:tr>
        <w:trPr>
          <w:tblHeader/>
        </w:trPr>
        <w:tc>
          <w:tcPr>
            <w:tcW w:w="2560" w:type="dxa"/>
            <w:shd w:val="clear" w:color="auto" w:fill="1F4E79"/>
            <w:tcMar>
              <w:top w:w="80" w:type="dxa"/>
              <w:left w:w="100" w:type="dxa"/>
              <w:bottom w:w="80" w:type="dxa"/>
              <w:right w:w="100" w:type="dxa"/>
            </w:tcMar>
          </w:tcPr>
          <w:p>
            <w:pPr>
              <w:spacing w:after="0"/>
            </w:pPr>
            <w:r>
              <w:rPr>
                <w:color w:val="FFFFFF"/>
                <w:sz w:val="20"/>
                <w:szCs w:val="20"/>
                <w:b/>
                <w:bCs/>
              </w:rPr>
              <w:t xml:space="preserve">Skill</w:t>
            </w:r>
          </w:p>
        </w:tc>
        <w:tc>
          <w:tcPr>
            <w:tcW w:w="2200" w:type="dxa"/>
            <w:shd w:val="clear" w:color="auto" w:fill="1F4E79"/>
            <w:tcMar>
              <w:top w:w="80" w:type="dxa"/>
              <w:left w:w="100" w:type="dxa"/>
              <w:bottom w:w="80" w:type="dxa"/>
              <w:right w:w="100" w:type="dxa"/>
            </w:tcMar>
          </w:tcPr>
          <w:p>
            <w:pPr>
              <w:spacing w:after="0"/>
            </w:pPr>
            <w:r>
              <w:rPr>
                <w:color w:val="FFFFFF"/>
                <w:sz w:val="20"/>
                <w:szCs w:val="20"/>
                <w:b/>
                <w:bCs/>
              </w:rPr>
              <w:t xml:space="preserve">Para qué sirve</w:t>
            </w:r>
          </w:p>
        </w:tc>
        <w:tc>
          <w:tcPr>
            <w:tcW w:w="1900" w:type="dxa"/>
            <w:shd w:val="clear" w:color="auto" w:fill="1F4E79"/>
            <w:tcMar>
              <w:top w:w="80" w:type="dxa"/>
              <w:left w:w="100" w:type="dxa"/>
              <w:bottom w:w="80" w:type="dxa"/>
              <w:right w:w="100" w:type="dxa"/>
            </w:tcMar>
          </w:tcPr>
          <w:p>
            <w:pPr>
              <w:spacing w:after="0"/>
            </w:pPr>
            <w:r>
              <w:rPr>
                <w:color w:val="FFFFFF"/>
                <w:sz w:val="20"/>
                <w:szCs w:val="20"/>
                <w:b/>
                <w:bCs/>
              </w:rPr>
              <w:t xml:space="preserve">Entrada</w:t>
            </w:r>
          </w:p>
        </w:tc>
        <w:tc>
          <w:tcPr>
            <w:tcW w:w="2700" w:type="dxa"/>
            <w:shd w:val="clear" w:color="auto" w:fill="1F4E79"/>
            <w:tcMar>
              <w:top w:w="80" w:type="dxa"/>
              <w:left w:w="100" w:type="dxa"/>
              <w:bottom w:w="80" w:type="dxa"/>
              <w:right w:w="100" w:type="dxa"/>
            </w:tcMar>
          </w:tcPr>
          <w:p>
            <w:pPr>
              <w:spacing w:after="0"/>
            </w:pPr>
            <w:r>
              <w:rPr>
                <w:color w:val="FFFFFF"/>
                <w:sz w:val="20"/>
                <w:szCs w:val="20"/>
                <w:b/>
                <w:bCs/>
              </w:rPr>
              <w:t xml:space="preserve">Resultado</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torre-control-actualizar-desde-ayuda-memoria</w:t>
            </w:r>
          </w:p>
        </w:tc>
        <w:tc>
          <w:tcPr>
            <w:tcW w:w="2200" w:type="dxa"/>
            <w:tcMar>
              <w:top w:w="80" w:type="dxa"/>
              <w:left w:w="100" w:type="dxa"/>
              <w:bottom w:w="80" w:type="dxa"/>
              <w:right w:w="100" w:type="dxa"/>
            </w:tcMar>
          </w:tcPr>
          <w:p>
            <w:pPr>
              <w:spacing w:after="0"/>
            </w:pPr>
            <w:r>
              <w:rPr>
                <w:sz w:val="20"/>
                <w:szCs w:val="20"/>
              </w:rPr>
              <w:t xml:space="preserve">Incorporar a la Torre lo acordado en una Revisión de Cartera (RGC) ya firmada</w:t>
            </w:r>
          </w:p>
        </w:tc>
        <w:tc>
          <w:tcPr>
            <w:tcW w:w="1900" w:type="dxa"/>
            <w:tcMar>
              <w:top w:w="80" w:type="dxa"/>
              <w:left w:w="100" w:type="dxa"/>
              <w:bottom w:w="80" w:type="dxa"/>
              <w:right w:w="100" w:type="dxa"/>
            </w:tcMar>
          </w:tcPr>
          <w:p>
            <w:pPr>
              <w:spacing w:after="0"/>
            </w:pPr>
            <w:r>
              <w:rPr>
                <w:sz w:val="20"/>
                <w:szCs w:val="20"/>
              </w:rPr>
              <w:t xml:space="preserve">Ayuda Memoria en PDF o Word</w:t>
            </w:r>
          </w:p>
        </w:tc>
        <w:tc>
          <w:tcPr>
            <w:tcW w:w="2700" w:type="dxa"/>
            <w:tcMar>
              <w:top w:w="80" w:type="dxa"/>
              <w:left w:w="100" w:type="dxa"/>
              <w:bottom w:w="80" w:type="dxa"/>
              <w:right w:w="100" w:type="dxa"/>
            </w:tcMar>
          </w:tcPr>
          <w:p>
            <w:pPr>
              <w:spacing w:after="0"/>
            </w:pPr>
            <w:r>
              <w:rPr>
                <w:sz w:val="20"/>
                <w:szCs w:val="20"/>
                <w:rFonts w:ascii="Consolas" w:hAnsi="Consolas"/>
              </w:rPr>
              <w:t xml:space="preserve">torre_de_control_CCR.xlsx</w:t>
            </w:r>
            <w:r>
              <w:rPr>
                <w:sz w:val="20"/>
                <w:szCs w:val="20"/>
              </w:rPr>
              <w:t xml:space="preserve"> actualizado (productos críticos, probabilidad de logro, adquisiciones críticas, riesgos y change log)</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torre-control-borrador-ayuda-memoria</w:t>
            </w:r>
          </w:p>
        </w:tc>
        <w:tc>
          <w:tcPr>
            <w:tcW w:w="2200" w:type="dxa"/>
            <w:tcMar>
              <w:top w:w="80" w:type="dxa"/>
              <w:left w:w="100" w:type="dxa"/>
              <w:bottom w:w="80" w:type="dxa"/>
              <w:right w:w="100" w:type="dxa"/>
            </w:tcMar>
          </w:tcPr>
          <w:p>
            <w:pPr>
              <w:spacing w:after="0"/>
            </w:pPr>
            <w:r>
              <w:rPr>
                <w:sz w:val="20"/>
                <w:szCs w:val="20"/>
              </w:rPr>
              <w:t xml:space="preserve">Preparar el insumo de la próxima Ayuda Memoria de RGC</w:t>
            </w:r>
          </w:p>
        </w:tc>
        <w:tc>
          <w:tcPr>
            <w:tcW w:w="1900" w:type="dxa"/>
            <w:tcMar>
              <w:top w:w="80" w:type="dxa"/>
              <w:left w:w="100" w:type="dxa"/>
              <w:bottom w:w="80" w:type="dxa"/>
              <w:right w:w="100" w:type="dxa"/>
            </w:tcMar>
          </w:tcPr>
          <w:p>
            <w:pPr>
              <w:spacing w:after="0"/>
            </w:pPr>
            <w:r>
              <w:rPr>
                <w:sz w:val="20"/>
                <w:szCs w:val="20"/>
              </w:rPr>
              <w:t xml:space="preserve">Datos vigentes de la Torre (Excel + Raw Data por operación)</w:t>
            </w:r>
          </w:p>
        </w:tc>
        <w:tc>
          <w:tcPr>
            <w:tcW w:w="2700" w:type="dxa"/>
            <w:tcMar>
              <w:top w:w="80" w:type="dxa"/>
              <w:left w:w="100" w:type="dxa"/>
              <w:bottom w:w="80" w:type="dxa"/>
              <w:right w:w="100" w:type="dxa"/>
            </w:tcMar>
          </w:tcPr>
          <w:p>
            <w:pPr>
              <w:spacing w:after="0"/>
            </w:pPr>
            <w:r>
              <w:rPr>
                <w:sz w:val="20"/>
                <w:szCs w:val="20"/>
              </w:rPr>
              <w:t xml:space="preserve">Borrador de contenido por operación: productos críticos y su estado, probabilidad de logro, adquisiciones críticas y riesgos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torre-control-correos-productos-criticos</w:t>
            </w:r>
          </w:p>
        </w:tc>
        <w:tc>
          <w:tcPr>
            <w:tcW w:w="2200" w:type="dxa"/>
            <w:tcMar>
              <w:top w:w="80" w:type="dxa"/>
              <w:left w:w="100" w:type="dxa"/>
              <w:bottom w:w="80" w:type="dxa"/>
              <w:right w:w="100" w:type="dxa"/>
            </w:tcMar>
          </w:tcPr>
          <w:p>
            <w:pPr>
              <w:spacing w:after="0"/>
            </w:pPr>
            <w:r>
              <w:rPr>
                <w:sz w:val="20"/>
                <w:szCs w:val="20"/>
              </w:rPr>
              <w:t xml:space="preserve">Pedir a los jefes de equipo que confirmen productos críticos antes de una RGC</w:t>
            </w:r>
          </w:p>
        </w:tc>
        <w:tc>
          <w:tcPr>
            <w:tcW w:w="1900" w:type="dxa"/>
            <w:tcMar>
              <w:top w:w="80" w:type="dxa"/>
              <w:left w:w="100" w:type="dxa"/>
              <w:bottom w:w="80" w:type="dxa"/>
              <w:right w:w="100" w:type="dxa"/>
            </w:tcMar>
          </w:tcPr>
          <w:p>
            <w:pPr>
              <w:spacing w:after="0"/>
            </w:pPr>
            <w:r>
              <w:rPr>
                <w:sz w:val="20"/>
                <w:szCs w:val="20"/>
              </w:rPr>
              <w:t xml:space="preserve">Datos vigentes de la Torre</w:t>
            </w:r>
          </w:p>
        </w:tc>
        <w:tc>
          <w:tcPr>
            <w:tcW w:w="2700" w:type="dxa"/>
            <w:tcMar>
              <w:top w:w="80" w:type="dxa"/>
              <w:left w:w="100" w:type="dxa"/>
              <w:bottom w:w="80" w:type="dxa"/>
              <w:right w:w="100" w:type="dxa"/>
            </w:tcMar>
          </w:tcPr>
          <w:p>
            <w:pPr>
              <w:spacing w:after="0"/>
            </w:pPr>
            <w:r>
              <w:rPr>
                <w:sz w:val="20"/>
                <w:szCs w:val="20"/>
              </w:rPr>
              <w:t xml:space="preserve">Un borrador de correo .eml por operación, con un Excel adjunto de indicadores, probabilidad de logro y productos críticos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torre-control-correos-acuerdos</w:t>
            </w:r>
          </w:p>
        </w:tc>
        <w:tc>
          <w:tcPr>
            <w:tcW w:w="2200" w:type="dxa"/>
            <w:tcMar>
              <w:top w:w="80" w:type="dxa"/>
              <w:left w:w="100" w:type="dxa"/>
              <w:bottom w:w="80" w:type="dxa"/>
              <w:right w:w="100" w:type="dxa"/>
            </w:tcMar>
          </w:tcPr>
          <w:p>
            <w:pPr>
              <w:spacing w:after="0"/>
            </w:pPr>
            <w:r>
              <w:rPr>
                <w:sz w:val="20"/>
                <w:szCs w:val="20"/>
              </w:rPr>
              <w:t xml:space="preserve">Dar seguimiento a los acuerdos de revisiones anteriores antes de una RGC</w:t>
            </w:r>
          </w:p>
        </w:tc>
        <w:tc>
          <w:tcPr>
            <w:tcW w:w="1900" w:type="dxa"/>
            <w:tcMar>
              <w:top w:w="80" w:type="dxa"/>
              <w:left w:w="100" w:type="dxa"/>
              <w:bottom w:w="80" w:type="dxa"/>
              <w:right w:w="100" w:type="dxa"/>
            </w:tcMar>
          </w:tcPr>
          <w:p>
            <w:pPr>
              <w:spacing w:after="0"/>
            </w:pPr>
            <w:r>
              <w:rPr>
                <w:sz w:val="20"/>
                <w:szCs w:val="20"/>
                <w:rFonts w:ascii="Consolas" w:hAnsi="Consolas"/>
              </w:rPr>
              <w:t xml:space="preserve">agreement_report.xlsx</w:t>
            </w:r>
          </w:p>
        </w:tc>
        <w:tc>
          <w:tcPr>
            <w:tcW w:w="2700" w:type="dxa"/>
            <w:tcMar>
              <w:top w:w="80" w:type="dxa"/>
              <w:left w:w="100" w:type="dxa"/>
              <w:bottom w:w="80" w:type="dxa"/>
              <w:right w:w="100" w:type="dxa"/>
            </w:tcMar>
          </w:tcPr>
          <w:p>
            <w:pPr>
              <w:spacing w:after="0"/>
            </w:pPr>
            <w:r>
              <w:rPr>
                <w:sz w:val="20"/>
                <w:szCs w:val="20"/>
              </w:rPr>
              <w:t xml:space="preserve">Un borrador de correo .eml por operación, con un Excel adjunto de acuerdos para actualizar estado y proponer nuevas fechas</w:t>
            </w:r>
          </w:p>
        </w:tc>
      </w:tr>
      <w:tr>
        <w:trPr>
          <w:cantSplit/>
        </w:trPr>
        <w:tc>
          <w:tcPr>
            <w:tcW w:w="2560" w:type="dxa"/>
            <w:tcMar>
              <w:top w:w="80" w:type="dxa"/>
              <w:left w:w="100" w:type="dxa"/>
              <w:bottom w:w="80" w:type="dxa"/>
              <w:right w:w="100" w:type="dxa"/>
            </w:tcMar>
          </w:tcPr>
          <w:p>
            <w:pPr>
              <w:spacing w:after="0"/>
            </w:pPr>
            <w:r>
              <w:rPr>
                <w:sz w:val="20"/>
                <w:szCs w:val="20"/>
                <w:rFonts w:ascii="Consolas" w:hAnsi="Consolas"/>
              </w:rPr>
              <w:t xml:space="preserve">torre-control-actualizar-ppt</w:t>
            </w:r>
          </w:p>
        </w:tc>
        <w:tc>
          <w:tcPr>
            <w:tcW w:w="2200" w:type="dxa"/>
            <w:tcMar>
              <w:top w:w="80" w:type="dxa"/>
              <w:left w:w="100" w:type="dxa"/>
              <w:bottom w:w="80" w:type="dxa"/>
              <w:right w:w="100" w:type="dxa"/>
            </w:tcMar>
          </w:tcPr>
          <w:p>
            <w:pPr>
              <w:spacing w:after="0"/>
            </w:pPr>
            <w:r>
              <w:rPr>
                <w:sz w:val="20"/>
                <w:szCs w:val="20"/>
              </w:rPr>
              <w:t xml:space="preserve">Mantener al día el diagrama de cada operación para presentaciones de RGC</w:t>
            </w:r>
          </w:p>
        </w:tc>
        <w:tc>
          <w:tcPr>
            <w:tcW w:w="1900" w:type="dxa"/>
            <w:tcMar>
              <w:top w:w="80" w:type="dxa"/>
              <w:left w:w="100" w:type="dxa"/>
              <w:bottom w:w="80" w:type="dxa"/>
              <w:right w:w="100" w:type="dxa"/>
            </w:tcMar>
          </w:tcPr>
          <w:p>
            <w:pPr>
              <w:spacing w:after="0"/>
            </w:pPr>
            <w:r>
              <w:rPr>
                <w:sz w:val="20"/>
                <w:szCs w:val="20"/>
              </w:rPr>
              <w:t xml:space="preserve">PowerPoint existente (o ninguno, para crearlo) + datos de la Torre</w:t>
            </w:r>
          </w:p>
        </w:tc>
        <w:tc>
          <w:tcPr>
            <w:tcW w:w="2700" w:type="dxa"/>
            <w:tcMar>
              <w:top w:w="80" w:type="dxa"/>
              <w:left w:w="100" w:type="dxa"/>
              <w:bottom w:w="80" w:type="dxa"/>
              <w:right w:w="100" w:type="dxa"/>
            </w:tcMar>
          </w:tcPr>
          <w:p>
            <w:pPr>
              <w:spacing w:after="0"/>
            </w:pPr>
            <w:r>
              <w:rPr>
                <w:sz w:val="20"/>
                <w:szCs w:val="20"/>
              </w:rPr>
              <w:t xml:space="preserve">Presentación con la relación indicadores → productos críticos → adquisiciones → riesgos, con estado y probabilidad de logro vigentes</w:t>
            </w:r>
          </w:p>
        </w:tc>
      </w:tr>
    </w:tbl>
    <w:p>
      <w:pPr>
        <w:spacing w:after="60"/>
      </w:pPr>
    </w:p>
    <w:p>
      <w:pPr>
        <w:spacing w:after="80"/>
      </w:pPr>
      <w:r>
        <w:t xml:space="preserve">Ciclo típico alrededor de una RGC:</w:t>
      </w:r>
    </w:p>
    <w:p>
      <w:pPr>
        <w:pStyle w:val="ListParagraph"/>
        <w:numPr>
          <w:ilvl w:val="0"/>
          <w:numId w:val="16"/>
        </w:numPr>
        <w:spacing w:after="80"/>
      </w:pPr>
      <w:r>
        <w:rPr>
          <w:b/>
          <w:bCs/>
        </w:rPr>
        <w:t xml:space="preserve">Antes:</w:t>
      </w:r>
      <w:r>
        <w:t xml:space="preserve"> correos-productos-criticos y correos-acuerdos para que los equipos confirmen la información.</w:t>
      </w:r>
    </w:p>
    <w:p>
      <w:pPr>
        <w:pStyle w:val="ListParagraph"/>
        <w:numPr>
          <w:ilvl w:val="0"/>
          <w:numId w:val="16"/>
        </w:numPr>
        <w:spacing w:after="80"/>
      </w:pPr>
      <w:r>
        <w:rPr>
          <w:b/>
          <w:bCs/>
        </w:rPr>
        <w:t xml:space="preserve">Preparación:</w:t>
      </w:r>
      <w:r>
        <w:t xml:space="preserve"> borrador-ayuda-memoria y actualizar-ppt para armar los insumos de la reunión.</w:t>
      </w:r>
    </w:p>
    <w:p>
      <w:pPr>
        <w:pStyle w:val="ListParagraph"/>
        <w:numPr>
          <w:ilvl w:val="0"/>
          <w:numId w:val="16"/>
        </w:numPr>
        <w:spacing w:after="80"/>
      </w:pPr>
      <w:r>
        <w:rPr>
          <w:b/>
          <w:bCs/>
        </w:rPr>
        <w:t xml:space="preserve">Después:</w:t>
      </w:r>
      <w:r>
        <w:t xml:space="preserve"> actualizar-desde-ayuda-memoria para cargar en la Torre lo acordado.</w:t>
      </w:r>
    </w:p>
    <w:p>
      <w:pPr>
        <w:spacing w:after="160"/>
      </w:pPr>
      <w:r>
        <w:t xml:space="preserve">Los skills que modifican archivos (actualizar-desde-ayuda-memoria y actualizar-ppt) dejan el resultado en la carpeta compartida. Revisa el archivo y avisa al administrador de la aplicación para que valide el cambio y realice el commit (ver "Pasos para actualizar archivos"). Los correos se generan como borradores y no se envían solos.</w:t>
      </w:r>
    </w:p>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 w:numId="15">
    <w:abstractNumId w:val="4"/>
    <w:lvlOverride w:ilvl="0">
      <w:startOverride w:val="1"/>
    </w:lvlOverride>
  </w:num>
  <w:num w:numId="1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