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w:t>
      </w:r>
    </w:p>
    <w:p w14:paraId="28AC7E18" w14:textId="77777777" w:rsidR="00AF2573" w:rsidRDefault="00000000">
      <w:pPr>
        <w:pStyle w:val="ListParagraph"/>
        <w:numPr>
          <w:ilvl w:val="0"/>
          <w:numId w:val="8"/>
        </w:numPr>
        <w:spacing w:after="80"/>
      </w:pPr>
      <w:r>
        <w:rPr>
          <w:rFonts w:ascii="Consolas" w:eastAsia="Consolas" w:hAnsi="Consolas" w:cs="Consolas"/>
          <w:b/>
          <w:bCs/>
        </w:rPr>
        <w:t>clientportal/Raw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clientportal/Contracts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14:paraId="28AC7E31" w14:textId="77777777" w:rsidR="00AF2573" w:rsidRDefault="00000000">
      <w:pPr>
        <w:spacing w:after="160"/>
      </w:pPr>
      <w:r>
        <w:t>Una vez descargado, se reemplaza el archivo correspondiente en la carpeta compartida siguiendo los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dentro de la subcarpeta clientportal de la carpeta compartida (no en la carpeta principal),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dentro de la subcarpeta clientportal de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 Los Raw Data y Contracts and Amendments están dentro de la subcarpeta clientportal.</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subcarpeta clientportal de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subcarpeta clientportal de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clientportal/</w:t>
            </w:r>
          </w:p>
        </w:tc>
        <w:tc>
          <w:tcPr>
            <w:tcW w:w="6084" w:type="dxa"/>
            <w:tcMar>
              <w:top w:w="80" w:type="dxa"/>
              <w:left w:w="100" w:type="dxa"/>
              <w:bottom w:w="80" w:type="dxa"/>
              <w:right w:w="100" w:type="dxa"/>
            </w:tcMar>
          </w:tcPr>
          <w:p w14:paraId="28AC7EDF" w14:textId="77777777" w:rsidR="00AF2573" w:rsidRDefault="00000000">
            <w:r>
              <w:t>Subcarpeta que concentra los archivos descargados del Portal de Cliente del BID (Raw Data y Contracts and Amendments). El dashboard los busca solo aquí.</w:t>
            </w:r>
            <w:proofErr w:type="spellStart"/>
            <w:proofErr w:type="spellEnd"/>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pmr reports/</w:t>
            </w:r>
          </w:p>
        </w:tc>
        <w:tc>
          <w:tcPr>
            <w:tcW w:w="6084" w:type="dxa"/>
            <w:tcMar>
              <w:top w:w="80" w:type="dxa"/>
              <w:left w:w="100" w:type="dxa"/>
              <w:bottom w:w="80" w:type="dxa"/>
              <w:right w:w="100" w:type="dxa"/>
            </w:tcMar>
          </w:tcPr>
          <w:p w14:paraId="28AC7EDF" w14:textId="77777777" w:rsidR="00AF2573" w:rsidRDefault="00000000">
            <w:r>
              <w:t>Insumos base del PMR (reportes operativos en PDF, simuladores PMR en Excel e informes de ciclo en Word) para el proceso de actualización del PMR. El dashboard no lee esta carpeta.</w:t>
            </w:r>
            <w:proofErr w:type="spellStart"/>
            <w:proofErr w:type="spellEnd"/>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