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CAGR analyze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World Result</w:t>
            </w:r>
          </w:p>
        </w:tc>
      </w:tr>
      <w:tr>
        <w:tc>
          <w:tcPr>
            <w:tcW w:type="dxa" w:w="2880"/>
            <w:vMerge w:val="restart"/>
            <w:vAlign w:val="center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-0.05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-0.03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-0.05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0.08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-0.05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-0.01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p>
      <w:r>
        <w:t>Factor 6 decreased by avg -0.26% every year from 2008 to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