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rsidP="00F61C5F">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rsidP="00F61C5F">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04FBDFCD"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 xml:space="preserve">WorldView-2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0" w:author="Alex Borowicz" w:date="2019-04-08T13:28:00Z">
        <w:r w:rsidR="00087CF8">
          <w:rPr>
            <w:rFonts w:ascii="Times New Roman" w:hAnsi="Times New Roman" w:cs="Times New Roman"/>
            <w:sz w:val="24"/>
            <w:szCs w:val="24"/>
          </w:rPr>
          <w:t xml:space="preserve">, and have been adopted </w:t>
        </w:r>
      </w:ins>
      <w:ins w:id="21"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2"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3" w:author="Alex Borowicz" w:date="2019-04-08T13:35:00Z">
        <w:r w:rsidR="002E598E">
          <w:rPr>
            <w:rFonts w:ascii="Times New Roman" w:hAnsi="Times New Roman" w:cs="Times New Roman"/>
            <w:sz w:val="24"/>
            <w:szCs w:val="24"/>
          </w:rPr>
          <w:t xml:space="preserve">17), </w:t>
        </w:r>
      </w:ins>
      <w:ins w:id="24"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5" w:author="Alex Borowicz" w:date="2019-04-08T13:39:00Z">
        <w:r w:rsidR="007B415F">
          <w:rPr>
            <w:rFonts w:ascii="Times New Roman" w:hAnsi="Times New Roman" w:cs="Times New Roman"/>
            <w:sz w:val="24"/>
            <w:szCs w:val="24"/>
          </w:rPr>
          <w:t>15)</w:t>
        </w:r>
      </w:ins>
      <w:ins w:id="26" w:author="Alex Borowicz" w:date="2019-04-08T13:40:00Z">
        <w:r w:rsidR="007B415F">
          <w:rPr>
            <w:rFonts w:ascii="Times New Roman" w:hAnsi="Times New Roman" w:cs="Times New Roman"/>
            <w:sz w:val="24"/>
            <w:szCs w:val="24"/>
          </w:rPr>
          <w:t>.</w:t>
        </w:r>
      </w:ins>
      <w:bookmarkStart w:id="27" w:name="_GoBack"/>
      <w:bookmarkEnd w:id="27"/>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4D6E4D58" w:rsidR="003904F1" w:rsidRDefault="003904F1" w:rsidP="00F61C5F">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0" w:author="Alex Borowicz" w:date="2019-04-08T10:38:00Z">
        <w:r w:rsidR="00DF51CD" w:rsidRPr="00CF41A8" w:rsidDel="00A65377">
          <w:rPr>
            <w:i/>
          </w:rPr>
          <w:delText>glacialis</w:delText>
        </w:r>
      </w:del>
      <w:ins w:id="31"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311880F" w:rsidR="001930A5" w:rsidRPr="00CF41A8" w:rsidRDefault="003904F1" w:rsidP="00F61C5F">
      <w:pPr>
        <w:pStyle w:val="NormalWeb"/>
        <w:spacing w:before="0" w:beforeAutospacing="0" w:after="0" w:afterAutospacing="0" w:line="480" w:lineRule="auto"/>
        <w:ind w:firstLine="720"/>
        <w:pPrChange w:id="32"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 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neighboring tiles, we removed them from both training and testing to avoid confusion. Where whales were cleanly bisected by the border between tiles, such that at least 20% of the whale </w:t>
      </w:r>
      <w:r w:rsidR="00E948FB" w:rsidRPr="00CF41A8">
        <w:rPr>
          <w:rFonts w:ascii="Times New Roman" w:eastAsia="Times New Roman" w:hAnsi="Times New Roman" w:cs="Times New Roman"/>
          <w:sz w:val="24"/>
          <w:szCs w:val="24"/>
        </w:rPr>
        <w:lastRenderedPageBreak/>
        <w:t>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372CCFB" w:rsidR="000E6FC7" w:rsidRPr="005253B3" w:rsidRDefault="00B977FD" w:rsidP="00F61C5F">
      <w:pPr>
        <w:spacing w:line="480" w:lineRule="auto"/>
        <w:ind w:firstLine="720"/>
        <w:rPr>
          <w:rFonts w:ascii="Times New Roman" w:hAnsi="Times New Roman" w:cs="Times New Roman"/>
          <w:sz w:val="24"/>
          <w:szCs w:val="24"/>
        </w:rPr>
        <w:pPrChange w:id="33"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34" w:author="Alex Borowicz" w:date="2019-04-07T19:55:00Z"/>
        </w:rPr>
      </w:pPr>
      <w:r>
        <w:lastRenderedPageBreak/>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rsidP="00F61C5F">
      <w:pPr>
        <w:pStyle w:val="NormalWeb"/>
        <w:spacing w:before="0" w:beforeAutospacing="0" w:after="0" w:afterAutospacing="0" w:line="480" w:lineRule="auto"/>
        <w:ind w:firstLine="720"/>
        <w:rPr>
          <w:ins w:id="35" w:author="Alex Borowicz" w:date="2019-04-07T19:56:00Z"/>
        </w:rPr>
        <w:pPrChange w:id="36" w:author="Alex Borowicz" w:date="2019-04-07T19:55:00Z">
          <w:pPr>
            <w:pStyle w:val="NormalWeb"/>
            <w:spacing w:before="0" w:beforeAutospacing="0" w:after="0" w:afterAutospacing="0" w:line="480" w:lineRule="auto"/>
          </w:pPr>
        </w:pPrChange>
      </w:pPr>
    </w:p>
    <w:p w14:paraId="79F9C839" w14:textId="7D130D54" w:rsidR="003904F1" w:rsidRPr="00FE61D0" w:rsidRDefault="00FE61D0" w:rsidP="00F61C5F">
      <w:pPr>
        <w:pStyle w:val="NormalWeb"/>
        <w:spacing w:before="0" w:beforeAutospacing="0" w:after="0" w:afterAutospacing="0" w:line="480" w:lineRule="auto"/>
        <w:ind w:firstLine="720"/>
        <w:pPrChange w:id="37"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used</w:t>
      </w:r>
      <w:r w:rsidRPr="00CF41A8">
        <w:t xml:space="preserve"> the </w:t>
      </w:r>
      <w:proofErr w:type="spellStart"/>
      <w:r w:rsidRPr="00CF41A8">
        <w:t>ResNet</w:t>
      </w:r>
      <w:proofErr w:type="spellEnd"/>
      <w:r w:rsidRPr="00CF41A8">
        <w:t xml:space="preserve"> architecture </w:t>
      </w:r>
      <w:r>
        <w:t xml:space="preserve">with </w:t>
      </w:r>
      <w:r w:rsidRPr="00CF41A8">
        <w:t xml:space="preserve">18 layers </w:t>
      </w:r>
      <w:r>
        <w:t>[41]</w:t>
      </w:r>
      <w:r w:rsidRPr="00CF41A8">
        <w:t>.</w:t>
      </w:r>
      <w:r>
        <w:t xml:space="preserve"> </w:t>
      </w:r>
      <w:r w:rsidRPr="00FE61D0">
        <w:t>The network takes as input a 32</w:t>
      </w:r>
      <w:r w:rsidR="00E81A0E">
        <w:t xml:space="preserve"> </w:t>
      </w:r>
      <m:oMath>
        <m:r>
          <w:rPr>
            <w:rFonts w:ascii="Cambria Math" w:hAnsi="Cambria Math"/>
          </w:rPr>
          <m:t>×</m:t>
        </m:r>
      </m:oMath>
      <w:r w:rsidR="00E81A0E">
        <w:t xml:space="preserve"> </w:t>
      </w:r>
      <w:proofErr w:type="gramStart"/>
      <w:r w:rsidRPr="00FE61D0">
        <w:t>32 pixel</w:t>
      </w:r>
      <w:proofErr w:type="gramEnd"/>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r w:rsidR="002F3709" w:rsidRPr="00FE61D0">
        <w:t xml:space="preserve">We use a </w:t>
      </w:r>
      <w:r w:rsidR="003904F1" w:rsidRPr="00FE61D0">
        <w:t xml:space="preserve">ResNet-18 </w:t>
      </w:r>
      <w:r w:rsidR="002F3709" w:rsidRPr="00FE61D0">
        <w:t xml:space="preserve">model that </w:t>
      </w:r>
      <w:r w:rsidR="003904F1" w:rsidRPr="00FE61D0">
        <w:t xml:space="preserve">is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 classes. We modify the last layer of this model to train with our data, i.e. from outputting 1000 classes to outputting 2 classes. Pre-training the model on ImageNet has been known to reduce overfitting and training time.</w:t>
      </w:r>
    </w:p>
    <w:p w14:paraId="0EC5AD83" w14:textId="70CC7BEA" w:rsidR="00561E27" w:rsidRPr="00E30FFB" w:rsidRDefault="003904F1" w:rsidP="00E30FFB">
      <w:pPr>
        <w:pStyle w:val="NormalWeb"/>
        <w:spacing w:before="0" w:beforeAutospacing="0" w:after="0" w:afterAutospacing="0" w:line="480" w:lineRule="auto"/>
        <w:ind w:firstLine="720"/>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w:t>
      </w:r>
      <w:r w:rsidR="00793D87">
        <w:lastRenderedPageBreak/>
        <w:t>Files</w:t>
      </w:r>
      <w:r w:rsidRPr="00CF41A8">
        <w:t>). 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0A188A61" w:rsidR="00641392" w:rsidRDefault="004E69CA" w:rsidP="00821014">
      <w:pPr>
        <w:pStyle w:val="NormalWeb"/>
        <w:spacing w:before="0" w:beforeAutospacing="0" w:after="0" w:afterAutospacing="0" w:line="480" w:lineRule="auto"/>
        <w:ind w:firstLine="720"/>
        <w:pPrChange w:id="38"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took </w:t>
      </w:r>
      <w:r w:rsidR="00FE2151">
        <w:t>approximately one</w:t>
      </w:r>
      <w:r w:rsidR="00FE2151" w:rsidRPr="00CF41A8">
        <w:t xml:space="preserve"> </w:t>
      </w:r>
      <w:r w:rsidR="001123EA" w:rsidRPr="00CF41A8">
        <w:t>hour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6E74B20B" w:rsidR="00273E18" w:rsidRPr="004B4963" w:rsidRDefault="00641392" w:rsidP="00821014">
      <w:pPr>
        <w:pStyle w:val="NormalWeb"/>
        <w:spacing w:before="0" w:beforeAutospacing="0" w:after="0" w:afterAutospacing="0" w:line="480" w:lineRule="auto"/>
        <w:ind w:firstLine="720"/>
        <w:pPrChange w:id="39"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whales that were found by the model. </w:t>
      </w:r>
      <w:r w:rsidR="00132310">
        <w:t xml:space="preserve">Precision was closely consistent among folds, ranging from 0.997 to 0.999, with slightly higher variation in recall from 0.930 to 0.989, </w:t>
      </w:r>
      <w:r w:rsidR="00DA7F16">
        <w:t>suggesting</w:t>
      </w:r>
      <w:r w:rsidR="00132310">
        <w:t xml:space="preserve"> that there was a </w:t>
      </w:r>
      <w:r w:rsidR="00132310">
        <w:lastRenderedPageBreak/>
        <w:t>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06C94867" w:rsidR="006778F7" w:rsidRDefault="00B20C24" w:rsidP="00821014">
      <w:pPr>
        <w:spacing w:line="480" w:lineRule="auto"/>
        <w:ind w:firstLine="720"/>
        <w:rPr>
          <w:rFonts w:ascii="Times New Roman" w:hAnsi="Times New Roman" w:cs="Times New Roman"/>
          <w:sz w:val="24"/>
          <w:szCs w:val="24"/>
        </w:rPr>
        <w:pPrChange w:id="40"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r w:rsidR="006778F7" w:rsidRPr="00CF41A8">
        <w:rPr>
          <w:rFonts w:ascii="Times New Roman" w:hAnsi="Times New Roman" w:cs="Times New Roman"/>
          <w:sz w:val="24"/>
          <w:szCs w:val="24"/>
        </w:rPr>
        <w:t>machine 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w:t>
      </w:r>
      <w:r w:rsidR="006778F7">
        <w:rPr>
          <w:rFonts w:ascii="Times New Roman" w:hAnsi="Times New Roman" w:cs="Times New Roman"/>
          <w:sz w:val="24"/>
          <w:szCs w:val="24"/>
        </w:rPr>
        <w:lastRenderedPageBreak/>
        <w:t xml:space="preserve">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0C85FCAC"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p>
    <w:p w14:paraId="473EFA97" w14:textId="6C612805"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 </w:t>
      </w:r>
      <w:r w:rsidR="00927D2E">
        <w:rPr>
          <w:rFonts w:ascii="Times New Roman" w:hAnsi="Times New Roman" w:cs="Times New Roman"/>
          <w:sz w:val="24"/>
          <w:szCs w:val="24"/>
        </w:rPr>
        <w:t xml:space="preserve">The collection of imagery also hinges on cloud cover,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41" w:author="Alex Borowicz" w:date="2019-04-08T13:35:00Z"/>
          <w:rFonts w:ascii="Times New Roman" w:hAnsi="Times New Roman" w:cs="Times New Roman"/>
          <w:b/>
          <w:sz w:val="24"/>
          <w:szCs w:val="24"/>
        </w:rPr>
      </w:pPr>
      <w:bookmarkStart w:id="42"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43" w:author="Alex Borowicz" w:date="2019-04-08T13:37:00Z"/>
          <w:rFonts w:ascii="Times New Roman" w:hAnsi="Times New Roman" w:cs="Times New Roman"/>
          <w:b/>
          <w:sz w:val="24"/>
          <w:szCs w:val="24"/>
        </w:rPr>
      </w:pPr>
      <w:ins w:id="44" w:author="Alex Borowicz" w:date="2019-04-08T13:35:00Z">
        <w:r>
          <w:rPr>
            <w:rFonts w:ascii="Times New Roman" w:hAnsi="Times New Roman" w:cs="Times New Roman"/>
            <w:b/>
            <w:sz w:val="24"/>
            <w:szCs w:val="24"/>
          </w:rPr>
          <w:t xml:space="preserve">Additions: </w:t>
        </w:r>
      </w:ins>
    </w:p>
    <w:p w14:paraId="20E69CBB" w14:textId="251311D4" w:rsidR="002E598E" w:rsidRDefault="002E598E" w:rsidP="00FE61D0">
      <w:pPr>
        <w:spacing w:line="480" w:lineRule="auto"/>
        <w:rPr>
          <w:ins w:id="45" w:author="Alex Borowicz" w:date="2019-04-08T13:39:00Z"/>
          <w:rFonts w:ascii="Times New Roman" w:hAnsi="Times New Roman" w:cs="Times New Roman"/>
          <w:b/>
          <w:sz w:val="24"/>
          <w:szCs w:val="24"/>
        </w:rPr>
      </w:pPr>
      <w:proofErr w:type="spellStart"/>
      <w:ins w:id="46" w:author="Alex Borowicz" w:date="2019-04-08T13:35:00Z">
        <w:r>
          <w:rPr>
            <w:rFonts w:ascii="Times New Roman" w:hAnsi="Times New Roman" w:cs="Times New Roman"/>
            <w:b/>
            <w:sz w:val="24"/>
            <w:szCs w:val="24"/>
          </w:rPr>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47"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79FB081" w14:textId="5B2CBE31" w:rsidR="007B415F" w:rsidRPr="007B415F" w:rsidRDefault="007B415F" w:rsidP="00FE61D0">
      <w:pPr>
        <w:spacing w:line="480" w:lineRule="auto"/>
        <w:rPr>
          <w:rFonts w:ascii="Times New Roman" w:hAnsi="Times New Roman" w:cs="Times New Roman"/>
          <w:b/>
          <w:sz w:val="24"/>
          <w:szCs w:val="24"/>
        </w:rPr>
      </w:pPr>
      <w:proofErr w:type="spellStart"/>
      <w:ins w:id="48"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49"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50" w:author="Alex Borowicz" w:date="2019-04-08T13:40:00Z">
        <w:r>
          <w:rPr>
            <w:rFonts w:ascii="Times New Roman" w:hAnsi="Times New Roman" w:cs="Times New Roman"/>
            <w:b/>
            <w:sz w:val="24"/>
            <w:szCs w:val="24"/>
          </w:rPr>
          <w:t>873.</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51" w:author="Alex Borowicz" w:date="2019-04-08T10:36:00Z">
        <w:r w:rsidRPr="005B6BA1" w:rsidDel="00A65377">
          <w:rPr>
            <w:rFonts w:ascii="Times New Roman" w:hAnsi="Times New Roman" w:cs="Times New Roman"/>
            <w:sz w:val="24"/>
            <w:szCs w:val="24"/>
          </w:rPr>
          <w:delText>Biodiv Res</w:delText>
        </w:r>
      </w:del>
      <w:ins w:id="52"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lastRenderedPageBreak/>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42"/>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F879" w14:textId="77777777" w:rsidR="00BA74CE" w:rsidRDefault="00BA74CE" w:rsidP="00500A0D">
      <w:pPr>
        <w:spacing w:after="0" w:line="240" w:lineRule="auto"/>
      </w:pPr>
      <w:r>
        <w:separator/>
      </w:r>
    </w:p>
  </w:endnote>
  <w:endnote w:type="continuationSeparator" w:id="0">
    <w:p w14:paraId="58C73B43" w14:textId="77777777" w:rsidR="00BA74CE" w:rsidRDefault="00BA74CE"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C9B72" w14:textId="77777777" w:rsidR="00BA74CE" w:rsidRDefault="00BA74CE" w:rsidP="00500A0D">
      <w:pPr>
        <w:spacing w:after="0" w:line="240" w:lineRule="auto"/>
      </w:pPr>
      <w:r>
        <w:separator/>
      </w:r>
    </w:p>
  </w:footnote>
  <w:footnote w:type="continuationSeparator" w:id="0">
    <w:p w14:paraId="69B8C267" w14:textId="77777777" w:rsidR="00BA74CE" w:rsidRDefault="00BA74CE"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F37F8C" w:rsidRDefault="00F37F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F37F8C" w:rsidRDefault="00F37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398A"/>
    <w:rsid w:val="000C7ED2"/>
    <w:rsid w:val="000D101A"/>
    <w:rsid w:val="000D3043"/>
    <w:rsid w:val="000E6FC7"/>
    <w:rsid w:val="000E745F"/>
    <w:rsid w:val="00111DBC"/>
    <w:rsid w:val="001123EA"/>
    <w:rsid w:val="001262BB"/>
    <w:rsid w:val="00126B1F"/>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7829"/>
    <w:rsid w:val="00283296"/>
    <w:rsid w:val="00285B62"/>
    <w:rsid w:val="002B3C72"/>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81AD5"/>
    <w:rsid w:val="004849E4"/>
    <w:rsid w:val="004965CF"/>
    <w:rsid w:val="004A12E5"/>
    <w:rsid w:val="004A52BE"/>
    <w:rsid w:val="004A7171"/>
    <w:rsid w:val="004A71D5"/>
    <w:rsid w:val="004B4963"/>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7177C"/>
    <w:rsid w:val="006778F7"/>
    <w:rsid w:val="00684CAE"/>
    <w:rsid w:val="006926A8"/>
    <w:rsid w:val="0069575A"/>
    <w:rsid w:val="006B4164"/>
    <w:rsid w:val="006C5AD5"/>
    <w:rsid w:val="006D3123"/>
    <w:rsid w:val="006E749C"/>
    <w:rsid w:val="006F12C9"/>
    <w:rsid w:val="006F3324"/>
    <w:rsid w:val="006F6242"/>
    <w:rsid w:val="0070131E"/>
    <w:rsid w:val="00704455"/>
    <w:rsid w:val="00705B3D"/>
    <w:rsid w:val="007079F1"/>
    <w:rsid w:val="00715DC5"/>
    <w:rsid w:val="00720F31"/>
    <w:rsid w:val="0072419A"/>
    <w:rsid w:val="00726144"/>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80A3C"/>
    <w:rsid w:val="00A81DF4"/>
    <w:rsid w:val="00A85725"/>
    <w:rsid w:val="00A96BD5"/>
    <w:rsid w:val="00AB4159"/>
    <w:rsid w:val="00AC3827"/>
    <w:rsid w:val="00AC3C02"/>
    <w:rsid w:val="00AC54DE"/>
    <w:rsid w:val="00AC606D"/>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7F16"/>
    <w:rsid w:val="00BC066D"/>
    <w:rsid w:val="00BF174F"/>
    <w:rsid w:val="00C0093C"/>
    <w:rsid w:val="00C07C5B"/>
    <w:rsid w:val="00C125E0"/>
    <w:rsid w:val="00C20983"/>
    <w:rsid w:val="00C35ACB"/>
    <w:rsid w:val="00C4038D"/>
    <w:rsid w:val="00C442D8"/>
    <w:rsid w:val="00C605DE"/>
    <w:rsid w:val="00C71759"/>
    <w:rsid w:val="00C73E90"/>
    <w:rsid w:val="00C86544"/>
    <w:rsid w:val="00C95225"/>
    <w:rsid w:val="00CB5553"/>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47B4"/>
    <w:rsid w:val="00D60FDE"/>
    <w:rsid w:val="00D63F41"/>
    <w:rsid w:val="00D87F8B"/>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27-55BB-4379-85B3-C9E734B5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20</Pages>
  <Words>5334</Words>
  <Characters>27845</Characters>
  <Application>Microsoft Office Word</Application>
  <DocSecurity>0</DocSecurity>
  <Lines>392</Lines>
  <Paragraphs>80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6</cp:revision>
  <dcterms:created xsi:type="dcterms:W3CDTF">2019-01-31T18:14:00Z</dcterms:created>
  <dcterms:modified xsi:type="dcterms:W3CDTF">2019-04-08T17:42:00Z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