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Business Proposal</w:t>
      </w:r>
    </w:p>
    <w:p>
      <w:pPr>
        <w:jc w:val="center"/>
      </w:pPr>
      <w:r>
        <w:rPr>
          <w:i/>
          <w:sz w:val="22"/>
        </w:rPr>
        <w:t>Professional proposal structure with executive summary, scope, deliverables, timeline, and commercial terms.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Use this section to adapt the business proposal to your organization. Replace the guidance text with approved content.</w:t>
      </w:r>
    </w:p>
    <w:p>
      <w:pPr>
        <w:pStyle w:val="ListBullet"/>
      </w:pPr>
      <w:r>
        <w:t>Context</w:t>
      </w:r>
    </w:p>
    <w:p>
      <w:pPr>
        <w:pStyle w:val="ListBullet"/>
      </w:pPr>
      <w:r>
        <w:t>Opportunity</w:t>
      </w:r>
    </w:p>
    <w:p>
      <w:pPr>
        <w:pStyle w:val="ListBullet"/>
      </w:pPr>
      <w:r>
        <w:t>Proposed approach</w:t>
      </w:r>
    </w:p>
    <w:p>
      <w:pPr>
        <w:pStyle w:val="ListBullet"/>
      </w:pPr>
      <w:r>
        <w:t>Expected outcomes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Commercial Terms</w:t>
      </w:r>
    </w:p>
    <w:p>
      <w:r>
        <w:t>Complete this section with the specific information for the business proposal.</w:t>
      </w:r>
    </w:p>
    <w:p>
      <w:pPr>
        <w:pStyle w:val="ListBullet"/>
      </w:pPr>
      <w:r>
        <w:t>Pricing basis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Validity period</w:t>
      </w:r>
    </w:p>
    <w:p>
      <w:pPr>
        <w:pStyle w:val="ListBullet"/>
      </w:pPr>
      <w:r>
        <w:t>Acceptance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