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Business Report</w:t>
      </w:r>
    </w:p>
    <w:p>
      <w:pPr>
        <w:jc w:val="center"/>
      </w:pPr>
      <w:r>
        <w:rPr>
          <w:i/>
          <w:sz w:val="22"/>
        </w:rPr>
        <w:t>General business report format with summary, findings, analysis, recommendations, and appendix.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Use this section to adapt the business report to your organization. Replace the guidance text with approved content.</w:t>
      </w:r>
    </w:p>
    <w:p>
      <w:pPr>
        <w:pStyle w:val="ListBullet"/>
      </w:pPr>
      <w:r>
        <w:t>Context</w:t>
      </w:r>
    </w:p>
    <w:p>
      <w:pPr>
        <w:pStyle w:val="ListBullet"/>
      </w:pPr>
      <w:r>
        <w:t>Opportunity</w:t>
      </w:r>
    </w:p>
    <w:p>
      <w:pPr>
        <w:pStyle w:val="ListBullet"/>
      </w:pPr>
      <w:r>
        <w:t>Proposed approach</w:t>
      </w:r>
    </w:p>
    <w:p>
      <w:pPr>
        <w:pStyle w:val="ListBullet"/>
      </w:pPr>
      <w:r>
        <w:t>Expected outcomes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Commercial Terms</w:t>
      </w:r>
    </w:p>
    <w:p>
      <w:r>
        <w:t>Complete this section with the specific information for the business report.</w:t>
      </w:r>
    </w:p>
    <w:p>
      <w:pPr>
        <w:pStyle w:val="ListBullet"/>
      </w:pPr>
      <w:r>
        <w:t>Pricing basis</w:t>
      </w:r>
    </w:p>
    <w:p>
      <w:pPr>
        <w:pStyle w:val="ListBullet"/>
      </w:pPr>
      <w:r>
        <w:t>Payment schedule</w:t>
      </w:r>
    </w:p>
    <w:p>
      <w:pPr>
        <w:pStyle w:val="ListBullet"/>
      </w:pPr>
      <w:r>
        <w:t>Validity period</w:t>
      </w:r>
    </w:p>
    <w:p>
      <w:pPr>
        <w:pStyle w:val="ListBullet"/>
      </w:pPr>
      <w:r>
        <w:t>Acceptance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