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Customer Success Plan</w:t>
      </w:r>
    </w:p>
    <w:p>
      <w:pPr>
        <w:jc w:val="center"/>
      </w:pPr>
      <w:r>
        <w:rPr>
          <w:i/>
          <w:sz w:val="22"/>
        </w:rPr>
        <w:t>Customer success plan with objectives, stakeholders, milestones, risks, and review cadence.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Pipeline Plan</w:t>
      </w:r>
    </w:p>
    <w:p>
      <w:r>
        <w:t>Use this section to adapt the customer success plan to your organization. Replace the guidance text with approved content.</w:t>
      </w:r>
    </w:p>
    <w:p>
      <w:pPr>
        <w:pStyle w:val="ListBullet"/>
      </w:pPr>
      <w:r>
        <w:t>Target</w:t>
      </w:r>
    </w:p>
    <w:p>
      <w:pPr>
        <w:pStyle w:val="ListBullet"/>
      </w:pPr>
      <w:r>
        <w:t>Pipeline</w:t>
      </w:r>
    </w:p>
    <w:p>
      <w:pPr>
        <w:pStyle w:val="ListBullet"/>
      </w:pPr>
      <w:r>
        <w:t>Activities</w:t>
      </w:r>
    </w:p>
    <w:p>
      <w:pPr>
        <w:pStyle w:val="ListBullet"/>
      </w:pPr>
      <w:r>
        <w:t>Forecast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Customer Need</w:t>
      </w:r>
    </w:p>
    <w:p>
      <w:r>
        <w:t>Complete this section with the specific information for the customer success plan.</w:t>
      </w:r>
    </w:p>
    <w:p>
      <w:pPr>
        <w:pStyle w:val="ListBullet"/>
      </w:pPr>
      <w:r>
        <w:t>Customer context</w:t>
      </w:r>
    </w:p>
    <w:p>
      <w:pPr>
        <w:pStyle w:val="ListBullet"/>
      </w:pPr>
      <w:r>
        <w:t>Pain points</w:t>
      </w:r>
    </w:p>
    <w:p>
      <w:pPr>
        <w:pStyle w:val="ListBullet"/>
      </w:pPr>
      <w:r>
        <w:t>Solution</w:t>
      </w:r>
    </w:p>
    <w:p>
      <w:pPr>
        <w:pStyle w:val="ListBullet"/>
      </w:pPr>
      <w:r>
        <w:t>Value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