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Interview Scorecard</w:t>
      </w:r>
    </w:p>
    <w:p>
      <w:pPr>
        <w:jc w:val="center"/>
      </w:pPr>
      <w:r>
        <w:rPr>
          <w:i/>
          <w:sz w:val="22"/>
        </w:rPr>
        <w:t>Structured interview scorecard with competencies, questions, evidence, and notes.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People Plan</w:t>
      </w:r>
    </w:p>
    <w:p>
      <w:r>
        <w:t>Use this section to adapt the interview scorecard to your organization. Replace the guidance text with approved content.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Policy</w:t>
      </w:r>
    </w:p>
    <w:p>
      <w:r>
        <w:t>Complete this section with the specific information for the interview scorecard.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