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Performance Review</w:t>
      </w:r>
    </w:p>
    <w:p>
      <w:pPr>
        <w:jc w:val="center"/>
      </w:pPr>
      <w:r>
        <w:rPr>
          <w:i/>
          <w:sz w:val="22"/>
        </w:rPr>
        <w:t>Performance review with achievements, competencies, goals, and development.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People Plan</w:t>
      </w:r>
    </w:p>
    <w:p>
      <w:r>
        <w:t>Use this section to adapt the performance review to your organization. Replace the guidance text with approved content.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Policy</w:t>
      </w:r>
    </w:p>
    <w:p>
      <w:r>
        <w:t>Complete this section with the specific information for the performance review.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