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Social Media Plan</w:t>
      </w:r>
    </w:p>
    <w:p>
      <w:pPr>
        <w:jc w:val="center"/>
      </w:pPr>
      <w:r>
        <w:rPr>
          <w:i/>
          <w:sz w:val="22"/>
        </w:rPr>
        <w:t>Social strategy with platforms, audiences, content pillars, cadence, and measurement.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Strategy</w:t>
      </w:r>
    </w:p>
    <w:p>
      <w:r>
        <w:t>Use this section to adapt the social media plan to your organization. Replace the guidance text with approved content.</w:t>
      </w:r>
    </w:p>
    <w:p>
      <w:pPr>
        <w:pStyle w:val="ListBullet"/>
      </w:pPr>
      <w:r>
        <w:t>Audience</w:t>
      </w:r>
    </w:p>
    <w:p>
      <w:pPr>
        <w:pStyle w:val="ListBullet"/>
      </w:pPr>
      <w:r>
        <w:t>Positioning</w:t>
      </w:r>
    </w:p>
    <w:p>
      <w:pPr>
        <w:pStyle w:val="ListBullet"/>
      </w:pPr>
      <w:r>
        <w:t>Channels</w:t>
      </w:r>
    </w:p>
    <w:p>
      <w:pPr>
        <w:pStyle w:val="ListBullet"/>
      </w:pPr>
      <w:r>
        <w:t>KPIs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Campaign</w:t>
      </w:r>
    </w:p>
    <w:p>
      <w:r>
        <w:t>Complete this section with the specific information for the social media plan.</w:t>
      </w:r>
    </w:p>
    <w:p>
      <w:pPr>
        <w:pStyle w:val="ListBullet"/>
      </w:pPr>
      <w:r>
        <w:t>Objective</w:t>
      </w:r>
    </w:p>
    <w:p>
      <w:pPr>
        <w:pStyle w:val="ListBullet"/>
      </w:pPr>
      <w:r>
        <w:t>Message</w:t>
      </w:r>
    </w:p>
    <w:p>
      <w:pPr>
        <w:pStyle w:val="ListBullet"/>
      </w:pPr>
      <w:r>
        <w:t>Creative direction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Budget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