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Business Continuity Plan</w:t>
      </w:r>
    </w:p>
    <w:p>
      <w:pPr>
        <w:jc w:val="center"/>
      </w:pPr>
      <w:r>
        <w:t>Continuity planning template for critical services, recovery priorities, contacts, and procedures.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