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Content Calendar</w:t>
      </w:r>
    </w:p>
    <w:p>
      <w:pPr>
        <w:jc w:val="center"/>
      </w:pPr>
      <w:r>
        <w:t>Editorial planning document for themes, channels, publishing dates, owners, and status.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