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Employee Handbook</w:t>
      </w:r>
    </w:p>
    <w:p>
      <w:pPr>
        <w:jc w:val="center"/>
      </w:pPr>
      <w:r>
        <w:rPr>
          <w:i/>
          <w:sz w:val="20"/>
        </w:rPr>
        <w:t>Employee handbook structure for policies, benefits, conduct, and procedures.</w:t>
      </w:r>
    </w:p>
    <w:p>
      <w:pPr>
        <w:pStyle w:val="Heading2"/>
      </w:pPr>
      <w:r>
        <w:t>Overview</w:t>
      </w:r>
    </w:p>
    <w:p>
      <w:r>
        <w:t>Use this section to capture the context, intended audience, and expected outcome.</w:t>
      </w:r>
    </w:p>
    <w:p>
      <w:pPr>
        <w:pStyle w:val="Heading2"/>
      </w:pPr>
      <w:r>
        <w:t>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84"/>
          </w:tcPr>
          <w:p>
            <w:r>
              <w:t>Background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Deliverables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Dependencies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Next step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</w:tbl>
    <w:p>
      <w:pPr>
        <w:pStyle w:val="Heading2"/>
      </w:pPr>
      <w:r>
        <w:t>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Done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Review content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Validate data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Obtain approval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Publish / share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