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Expense Policy</w:t>
      </w:r>
    </w:p>
    <w:p>
      <w:pPr>
        <w:jc w:val="center"/>
      </w:pPr>
      <w:r>
        <w:rPr>
          <w:i/>
          <w:sz w:val="20"/>
        </w:rPr>
        <w:t>Expense policy with eligibility, limits, approvals, and reimbursement.</w:t>
      </w:r>
    </w:p>
    <w:p>
      <w:pPr>
        <w:pStyle w:val="Heading2"/>
      </w:pPr>
      <w:r>
        <w:t>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2592"/>
          </w:tcPr>
          <w:p>
            <w:r>
              <w:t>REQ-001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Must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t>REQ-002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Should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t>REQ-003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Could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92"/>
          </w:tcPr>
          <w:p>
            <w:r>
              <w:t>Metric 1</w:t>
            </w:r>
          </w:p>
        </w:tc>
        <w:tc>
          <w:tcPr>
            <w:tcW w:type="dxa" w:w="2592"/>
          </w:tcPr>
          <w:p>
            <w:r>
              <w:t>0</w:t>
            </w:r>
          </w:p>
        </w:tc>
        <w:tc>
          <w:tcPr>
            <w:tcW w:type="dxa" w:w="2592"/>
          </w:tcPr>
          <w:p>
            <w:r>
              <w:t>100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  <w:tr>
        <w:tc>
          <w:tcPr>
            <w:tcW w:type="dxa" w:w="2592"/>
          </w:tcPr>
          <w:p>
            <w:r>
              <w:t>Metric 2</w:t>
            </w:r>
          </w:p>
        </w:tc>
        <w:tc>
          <w:tcPr>
            <w:tcW w:type="dxa" w:w="2592"/>
          </w:tcPr>
          <w:p>
            <w:r>
              <w:t>0%</w:t>
            </w:r>
          </w:p>
        </w:tc>
        <w:tc>
          <w:tcPr>
            <w:tcW w:type="dxa" w:w="2592"/>
          </w:tcPr>
          <w:p>
            <w:r>
              <w:t>90%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