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Press Release</w:t>
      </w:r>
    </w:p>
    <w:p>
      <w:pPr>
        <w:jc w:val="center"/>
      </w:pPr>
      <w:r>
        <w:rPr>
          <w:i/>
          <w:sz w:val="20"/>
        </w:rPr>
        <w:t>Press release with headline, announcement, quotes, boilerplate, and media contact.</w:t>
      </w:r>
    </w:p>
    <w:p>
      <w:pPr>
        <w:pStyle w:val="Heading2"/>
      </w:pPr>
      <w:r>
        <w:t>Overview</w:t>
      </w:r>
    </w:p>
    <w:p>
      <w:r>
        <w:t>Use this section to capture the context, intended audience, and expected outcome.</w:t>
      </w:r>
    </w:p>
    <w:p>
      <w:pPr>
        <w:pStyle w:val="Heading2"/>
      </w:pPr>
      <w:r>
        <w:t>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5184"/>
          </w:tcPr>
          <w:p>
            <w:r>
              <w:t>Background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Deliverables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Dependencies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Next step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</w:tbl>
    <w:p>
      <w:pPr>
        <w:pStyle w:val="Heading2"/>
      </w:pPr>
      <w:r>
        <w:t>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Done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Item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Review content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Validate data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Obtain approval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Publish / share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