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40"/>
      </w:pPr>
      <w:r>
        <w:rPr>
          <w:rFonts w:ascii="Calibri" w:hAnsi="Calibri"/>
          <w:b/>
          <w:color w:val="B7791F"/>
          <w:sz w:val="18"/>
        </w:rPr>
        <w:t>LEADERSHIP ALIGNMENT INSTRUMENT</w:t>
      </w:r>
    </w:p>
    <w:p>
      <w:pPr>
        <w:spacing w:before="0" w:after="100"/>
      </w:pPr>
      <w:r>
        <w:rPr>
          <w:rFonts w:ascii="Calibri" w:hAnsi="Calibri"/>
          <w:b/>
          <w:color w:val="17365D"/>
          <w:sz w:val="54"/>
        </w:rPr>
        <w:t>Mission Product Automation Leadership Assessment</w:t>
      </w:r>
    </w:p>
    <w:p>
      <w:pPr>
        <w:spacing w:after="280"/>
      </w:pPr>
      <w:r>
        <w:rPr>
          <w:rFonts w:ascii="Calibri" w:hAnsi="Calibri"/>
          <w:color w:val="344054"/>
          <w:sz w:val="24"/>
        </w:rPr>
        <w:t>Clarifies mission priorities, intended outcomes, non-negotiable guardrails, and the evidence leadership will accept as success.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6E5"/>
          <w:left w:val="single" w:sz="5" w:space="0" w:color="CBD6E5"/>
          <w:bottom w:val="single" w:sz="5" w:space="0" w:color="CBD6E5"/>
          <w:right w:val="single" w:sz="5" w:space="0" w:color="CBD6E5"/>
          <w:insideH w:val="single" w:sz="5" w:space="0" w:color="CBD6E5"/>
          <w:insideV w:val="single" w:sz="5" w:space="0" w:color="CBD6E5"/>
        </w:tblBorders>
      </w:tblPr>
      <w:tblGrid>
        <w:gridCol w:w="3000"/>
        <w:gridCol w:w="2100"/>
        <w:gridCol w:w="4260"/>
      </w:tblGrid>
      <w:tr>
        <w:trPr>
          <w:cantSplit/>
        </w:trPr>
        <w:tc>
          <w:tcPr>
            <w:tcW w:type="dxa" w:w="3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2E74B5"/>
                <w:sz w:val="15"/>
              </w:rPr>
              <w:t>AUDIENCE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Commander / director, deputies, mission owners</w:t>
            </w:r>
          </w:p>
        </w:tc>
        <w:tc>
          <w:tcPr>
            <w:tcW w:type="dxa" w:w="2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2E74B5"/>
                <w:sz w:val="15"/>
              </w:rPr>
              <w:t>COMPLETION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30-45 minutes</w:t>
            </w:r>
          </w:p>
        </w:tc>
        <w:tc>
          <w:tcPr>
            <w:tcW w:type="dxa" w:w="42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2E74B5"/>
                <w:sz w:val="15"/>
              </w:rPr>
              <w:t>PRIMARY OUTPUT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Ranked priorities + success definition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D6A84B"/>
          <w:left w:val="single" w:sz="7" w:space="0" w:color="D6A84B"/>
          <w:bottom w:val="single" w:sz="7" w:space="0" w:color="D6A84B"/>
          <w:right w:val="single" w:sz="7" w:space="0" w:color="D6A84B"/>
          <w:insideH w:val="single" w:sz="7" w:space="0" w:color="D6A84B"/>
          <w:insideV w:val="single" w:sz="7" w:space="0" w:color="D6A84B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8E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 xml:space="preserve">Security and OPSEC: </w:t>
            </w:r>
            <w:r>
              <w:rPr>
                <w:rFonts w:ascii="Calibri" w:hAnsi="Calibri"/>
                <w:color w:val="344054"/>
                <w:sz w:val="18"/>
              </w:rPr>
              <w:t>Complete this instrument only at the classification level of the system being used. Use category-level descriptions here; move operational details, sources, vulnerabilities, and sensitive examples to an approved environment.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9FB7D4"/>
          <w:left w:val="single" w:sz="7" w:space="0" w:color="9FB7D4"/>
          <w:bottom w:val="single" w:sz="7" w:space="0" w:color="9FB7D4"/>
          <w:right w:val="single" w:sz="7" w:space="0" w:color="9FB7D4"/>
          <w:insideH w:val="single" w:sz="7" w:space="0" w:color="9FB7D4"/>
          <w:insideV w:val="single" w:sz="7" w:space="0" w:color="9FB7D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 xml:space="preserve">Assessment posture: </w:t>
            </w:r>
            <w:r>
              <w:rPr>
                <w:rFonts w:ascii="Calibri" w:hAnsi="Calibri"/>
                <w:color w:val="344054"/>
                <w:sz w:val="18"/>
              </w:rPr>
              <w:t>This is not a technology wish list or a maturity score. It establishes what is actually happening, what outcomes matter, where human accountability must remain, and what evidence should govern pilot decisions.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Respondent information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/>
                <w:color w:val="344054"/>
                <w:sz w:val="18"/>
              </w:rPr>
              <w:t>Unit / organization</w:t>
              <w:br/>
              <w:t>[Enter]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/>
                <w:color w:val="344054"/>
                <w:sz w:val="18"/>
              </w:rPr>
              <w:t>Name and role</w:t>
              <w:br/>
              <w:t>[Enter]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/>
                <w:color w:val="344054"/>
                <w:sz w:val="18"/>
              </w:rPr>
              <w:t>Date</w:t>
              <w:br/>
              <w:t>[Enter]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/>
                <w:color w:val="344054"/>
                <w:sz w:val="18"/>
              </w:rPr>
              <w:t>Interviewed by</w:t>
              <w:br/>
              <w:t>[Enter]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Calibri" w:hAnsi="Calibri"/>
          <w:b/>
          <w:color w:val="2E74B5"/>
          <w:sz w:val="21"/>
        </w:rPr>
        <w:t xml:space="preserve">A  </w:t>
      </w:r>
      <w:r>
        <w:rPr>
          <w:rFonts w:ascii="Calibri" w:hAnsi="Calibri"/>
          <w:b/>
          <w:color w:val="344054"/>
          <w:sz w:val="21"/>
        </w:rPr>
        <w:t>Which mission area, staff function, or operational problem is in scope for this engagement?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i/>
                <w:color w:val="667085"/>
                <w:sz w:val="19"/>
              </w:rPr>
              <w:t>[Type response here]</w:t>
            </w:r>
            <w:r>
              <w:br/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1. Mission Context and Decision Environment</w:t>
      </w:r>
    </w:p>
    <w:p>
      <w:pPr>
        <w:spacing w:after="140"/>
      </w:pPr>
      <w:r>
        <w:rPr>
          <w:rFonts w:ascii="Calibri" w:hAnsi="Calibri"/>
          <w:i/>
          <w:color w:val="667085"/>
          <w:sz w:val="19"/>
        </w:rPr>
        <w:t>Begin with mission reality. Do not assume the product itself is the end goal.</w:t>
      </w:r>
    </w:p>
    <w:p>
      <w:pPr>
        <w:keepNext/>
        <w:spacing w:before="80" w:after="60"/>
      </w:pPr>
      <w:r>
        <w:rPr>
          <w:rFonts w:ascii="Calibri" w:hAnsi="Calibri"/>
          <w:b/>
          <w:color w:val="2E74B5"/>
          <w:sz w:val="21"/>
        </w:rPr>
        <w:t xml:space="preserve">1.1  </w:t>
      </w:r>
      <w:r>
        <w:rPr>
          <w:rFonts w:ascii="Calibri" w:hAnsi="Calibri"/>
          <w:b/>
          <w:color w:val="344054"/>
          <w:sz w:val="21"/>
        </w:rPr>
        <w:t>What mission outcome(s) do these products support? What becomes possible when the products are timely and trusted?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i/>
                <w:color w:val="667085"/>
                <w:sz w:val="19"/>
              </w:rPr>
              <w:t>[Type response here]</w:t>
            </w:r>
            <w:r>
              <w:br/>
            </w:r>
            <w:r>
              <w:br/>
            </w:r>
          </w:p>
        </w:tc>
      </w:tr>
    </w:tbl>
    <w:p>
      <w:pPr>
        <w:spacing w:after="40"/>
      </w:pPr>
    </w:p>
    <w:p>
      <w:pPr>
        <w:keepNext/>
        <w:spacing w:before="80" w:after="60"/>
      </w:pPr>
      <w:r>
        <w:rPr>
          <w:rFonts w:ascii="Calibri" w:hAnsi="Calibri"/>
          <w:b/>
          <w:color w:val="2E74B5"/>
          <w:sz w:val="21"/>
        </w:rPr>
        <w:t xml:space="preserve">1.2  </w:t>
      </w:r>
      <w:r>
        <w:rPr>
          <w:rFonts w:ascii="Calibri" w:hAnsi="Calibri"/>
          <w:b/>
          <w:color w:val="344054"/>
          <w:sz w:val="21"/>
        </w:rPr>
        <w:t>Who consumes the products, and what decisions or actions do they enable?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i/>
                <w:color w:val="667085"/>
                <w:sz w:val="19"/>
              </w:rPr>
              <w:t>[Type response here]</w:t>
            </w:r>
            <w:r>
              <w:br/>
            </w:r>
            <w:r>
              <w:br/>
            </w:r>
          </w:p>
        </w:tc>
      </w:tr>
    </w:tbl>
    <w:p>
      <w:pPr>
        <w:spacing w:after="40"/>
      </w:pPr>
    </w:p>
    <w:p>
      <w:pPr>
        <w:keepNext/>
        <w:spacing w:before="80" w:after="60"/>
      </w:pPr>
      <w:r>
        <w:rPr>
          <w:rFonts w:ascii="Calibri" w:hAnsi="Calibri"/>
          <w:b/>
          <w:color w:val="2E74B5"/>
          <w:sz w:val="21"/>
        </w:rPr>
        <w:t xml:space="preserve">1.3  </w:t>
      </w:r>
      <w:r>
        <w:rPr>
          <w:rFonts w:ascii="Calibri" w:hAnsi="Calibri"/>
          <w:b/>
          <w:color w:val="344054"/>
          <w:sz w:val="21"/>
        </w:rPr>
        <w:t>What is the operational tempo: routine cycle, surge conditions, short-notice tasking, and peak demand?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i/>
                <w:color w:val="667085"/>
                <w:sz w:val="19"/>
              </w:rPr>
              <w:t>[Type response here]</w:t>
            </w:r>
            <w:r>
              <w:br/>
            </w:r>
          </w:p>
        </w:tc>
      </w:tr>
    </w:tbl>
    <w:p>
      <w:pPr>
        <w:spacing w:after="40"/>
      </w:pPr>
    </w:p>
    <w:p>
      <w:pPr>
        <w:keepNext/>
        <w:spacing w:before="80" w:after="60"/>
      </w:pPr>
      <w:r>
        <w:rPr>
          <w:rFonts w:ascii="Calibri" w:hAnsi="Calibri"/>
          <w:b/>
          <w:color w:val="2E74B5"/>
          <w:sz w:val="21"/>
        </w:rPr>
        <w:t xml:space="preserve">1.4  </w:t>
      </w:r>
      <w:r>
        <w:rPr>
          <w:rFonts w:ascii="Calibri" w:hAnsi="Calibri"/>
          <w:b/>
          <w:color w:val="344054"/>
          <w:sz w:val="21"/>
        </w:rPr>
        <w:t>What are the consequences of a late, incomplete, inconsistent, or incorrect product?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i/>
                <w:color w:val="667085"/>
                <w:sz w:val="19"/>
              </w:rPr>
              <w:t>[Type response here]</w:t>
            </w:r>
            <w:r>
              <w:br/>
            </w:r>
            <w:r>
              <w:br/>
            </w:r>
          </w:p>
        </w:tc>
      </w:tr>
    </w:tbl>
    <w:p>
      <w:pPr>
        <w:spacing w:after="40"/>
      </w:pPr>
    </w:p>
    <w:p>
      <w:pPr>
        <w:keepNext/>
        <w:spacing w:before="80" w:after="60"/>
      </w:pPr>
      <w:r>
        <w:rPr>
          <w:rFonts w:ascii="Calibri" w:hAnsi="Calibri"/>
          <w:b/>
          <w:color w:val="2E74B5"/>
          <w:sz w:val="21"/>
        </w:rPr>
        <w:t xml:space="preserve">1.5  </w:t>
      </w:r>
      <w:r>
        <w:rPr>
          <w:rFonts w:ascii="Calibri" w:hAnsi="Calibri"/>
          <w:b/>
          <w:color w:val="344054"/>
          <w:sz w:val="21"/>
        </w:rPr>
        <w:t>What should never be optimized away in pursuit of speed (for example: commander intent, judgment, nuance, accountability, security, or relationship)?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i/>
                <w:color w:val="667085"/>
                <w:sz w:val="19"/>
              </w:rPr>
              <w:t>[Type response here]</w:t>
            </w:r>
            <w:r>
              <w:br/>
            </w:r>
            <w:r>
              <w:br/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2. Priority Mission Products</w:t>
      </w:r>
    </w:p>
    <w:p>
      <w:pPr>
        <w:spacing w:after="140"/>
      </w:pPr>
      <w:r>
        <w:rPr>
          <w:rFonts w:ascii="Calibri" w:hAnsi="Calibri"/>
          <w:i/>
          <w:color w:val="667085"/>
          <w:sz w:val="19"/>
        </w:rPr>
        <w:t>Identify the product portfolio first; rank automation candidates only after mission value and constraints are visible.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2200"/>
        <w:gridCol w:w="1900"/>
        <w:gridCol w:w="3560"/>
        <w:gridCol w:w="1700"/>
      </w:tblGrid>
      <w:tr>
        <w:trPr>
          <w:tblHeader w:val="true"/>
          <w:cantSplit/>
        </w:trPr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Product / recurring deliverable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Primary consumer</w:t>
            </w:r>
          </w:p>
        </w:tc>
        <w:tc>
          <w:tcPr>
            <w:tcW w:type="dxa" w:w="3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Decision or action enabled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Typical frequency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8"/>
              </w:rPr>
              <w:t>[Enter]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8"/>
              </w:rPr>
              <w:t>[Enter]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8"/>
              </w:rPr>
              <w:t>[Enter]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8"/>
              </w:rPr>
              <w:t>[Enter]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8"/>
              </w:rPr>
              <w:t>[Enter]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8"/>
              </w:rPr>
              <w:t>[Enter]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8"/>
              </w:rPr>
              <w:t>[Enter]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8"/>
              </w:rPr>
              <w:t>[Enter]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8"/>
              </w:rPr>
              <w:t>[Enter]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8"/>
              </w:rPr>
              <w:t>[Enter]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8"/>
              </w:rPr>
              <w:t>[Enter]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8"/>
              </w:rPr>
              <w:t>[Enter]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8"/>
              </w:rPr>
              <w:t>[Enter]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8"/>
              </w:rPr>
              <w:t>[Enter]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8"/>
              </w:rPr>
              <w:t>[Enter]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8"/>
              </w:rPr>
              <w:t>[Enter]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8"/>
              </w:rPr>
              <w:t>[Enter]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8"/>
              </w:rPr>
              <w:t>[Enter]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8"/>
              </w:rPr>
              <w:t>[Enter]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8"/>
              </w:rPr>
              <w:t>[Enter]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8"/>
              </w:rPr>
              <w:t>[Enter]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8"/>
              </w:rPr>
              <w:t>[Enter]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8"/>
              </w:rPr>
              <w:t>[Enter]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8"/>
              </w:rPr>
              <w:t>[Enter]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Leadership priority rating</w:t>
      </w:r>
    </w:p>
    <w:p>
      <w:pPr>
        <w:spacing w:after="120"/>
      </w:pPr>
      <w:r>
        <w:rPr>
          <w:rFonts w:ascii="Calibri" w:hAnsi="Calibri"/>
          <w:i/>
          <w:color w:val="667085"/>
          <w:sz w:val="18"/>
        </w:rPr>
        <w:t>Rate each named product from 1 (low) to 5 (high). Readiness reflects the availability of authoritative inputs, repeatable rules, access, and an accountable owner.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2860"/>
        <w:gridCol w:w="1300"/>
        <w:gridCol w:w="1300"/>
        <w:gridCol w:w="1400"/>
        <w:gridCol w:w="1200"/>
        <w:gridCol w:w="1300"/>
      </w:tblGrid>
      <w:tr>
        <w:trPr>
          <w:tblHeader w:val="true"/>
          <w:cantSplit/>
        </w:trPr>
        <w:tc>
          <w:tcPr>
            <w:tcW w:type="dxa" w:w="2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/>
                <w:b/>
                <w:color w:val="17365D"/>
                <w:sz w:val="16"/>
              </w:rPr>
              <w:t>Product</w:t>
            </w:r>
          </w:p>
        </w:tc>
        <w:tc>
          <w:tcPr>
            <w:tcW w:type="dxa" w:w="1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/>
                <w:b/>
                <w:color w:val="17365D"/>
                <w:sz w:val="16"/>
              </w:rPr>
              <w:t>Mission impact</w:t>
            </w:r>
          </w:p>
        </w:tc>
        <w:tc>
          <w:tcPr>
            <w:tcW w:type="dxa" w:w="1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/>
                <w:b/>
                <w:color w:val="17365D"/>
                <w:sz w:val="16"/>
              </w:rPr>
              <w:t>Current burden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/>
                <w:b/>
                <w:color w:val="17365D"/>
                <w:sz w:val="16"/>
              </w:rPr>
              <w:t>Time sensitivity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/>
                <w:b/>
                <w:color w:val="17365D"/>
                <w:sz w:val="16"/>
              </w:rPr>
              <w:t>Readiness</w:t>
            </w:r>
          </w:p>
        </w:tc>
        <w:tc>
          <w:tcPr>
            <w:tcW w:type="dxa" w:w="1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/>
                <w:b/>
                <w:color w:val="17365D"/>
                <w:sz w:val="16"/>
              </w:rPr>
              <w:t>Leader priority</w:t>
            </w:r>
          </w:p>
        </w:tc>
      </w:tr>
      <w:tr>
        <w:trPr>
          <w:cantSplit/>
        </w:trPr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[1-5]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[1-5]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[1-5]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[1-5]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[1-5]</w:t>
            </w:r>
          </w:p>
        </w:tc>
      </w:tr>
      <w:tr>
        <w:trPr>
          <w:cantSplit/>
        </w:trPr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[1-5]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[1-5]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[1-5]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[1-5]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[1-5]</w:t>
            </w:r>
          </w:p>
        </w:tc>
      </w:tr>
      <w:tr>
        <w:trPr>
          <w:cantSplit/>
        </w:trPr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[1-5]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[1-5]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[1-5]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[1-5]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[1-5]</w:t>
            </w:r>
          </w:p>
        </w:tc>
      </w:tr>
      <w:tr>
        <w:trPr>
          <w:cantSplit/>
        </w:trPr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[1-5]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[1-5]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[1-5]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[1-5]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[1-5]</w:t>
            </w:r>
          </w:p>
        </w:tc>
      </w:tr>
      <w:tr>
        <w:trPr>
          <w:cantSplit/>
        </w:trPr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[1-5]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[1-5]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[1-5]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[1-5]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[1-5]</w:t>
            </w:r>
          </w:p>
        </w:tc>
      </w:tr>
      <w:tr>
        <w:trPr>
          <w:cantSplit/>
        </w:trPr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[1-5]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[1-5]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[1-5]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[1-5]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[1-5]</w:t>
            </w:r>
          </w:p>
        </w:tc>
      </w:tr>
    </w:tbl>
    <w:p>
      <w:pPr>
        <w:spacing w:after="0"/>
      </w:pPr>
    </w:p>
    <w:p>
      <w:pPr>
        <w:keepNext/>
        <w:spacing w:before="80" w:after="60"/>
      </w:pPr>
      <w:r>
        <w:rPr>
          <w:rFonts w:ascii="Calibri" w:hAnsi="Calibri"/>
          <w:b/>
          <w:color w:val="2E74B5"/>
          <w:sz w:val="21"/>
        </w:rPr>
        <w:t xml:space="preserve">2.1  </w:t>
      </w:r>
      <w:r>
        <w:rPr>
          <w:rFonts w:ascii="Calibri" w:hAnsi="Calibri"/>
          <w:b/>
          <w:color w:val="344054"/>
          <w:sz w:val="21"/>
        </w:rPr>
        <w:t>Which three products should be examined first, and why are they more important than the others?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i/>
                <w:color w:val="667085"/>
                <w:sz w:val="19"/>
              </w:rPr>
              <w:t>[Type response here]</w:t>
            </w:r>
            <w:r>
              <w:br/>
            </w:r>
            <w:r>
              <w:br/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3. What Success Must Look Like</w:t>
      </w:r>
    </w:p>
    <w:p>
      <w:pPr>
        <w:spacing w:after="140"/>
      </w:pPr>
      <w:r>
        <w:rPr>
          <w:rFonts w:ascii="Calibri" w:hAnsi="Calibri"/>
          <w:i/>
          <w:color w:val="667085"/>
          <w:sz w:val="19"/>
        </w:rPr>
        <w:t>Define observable change, a baseline, a target, and a responsible evidence owner. Avoid promising causation or ROI before a pilot is measured.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9"/>
              </w:rPr>
              <w:t>☐ Shorter end-to-end cycle time</w:t>
            </w:r>
          </w:p>
        </w:tc>
        <w:tc>
          <w:tcPr>
            <w:tcW w:type="dxa" w:w="468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9"/>
              </w:rPr>
              <w:t>☐ Less hands-on production time</w:t>
            </w:r>
          </w:p>
        </w:tc>
      </w:tr>
      <w:tr>
        <w:trPr>
          <w:cantSplit/>
        </w:trPr>
        <w:tc>
          <w:tcPr>
            <w:tcW w:type="dxa" w:w="468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9"/>
              </w:rPr>
              <w:t>☐ Fewer corrections or revision rounds</w:t>
            </w:r>
          </w:p>
        </w:tc>
        <w:tc>
          <w:tcPr>
            <w:tcW w:type="dxa" w:w="468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9"/>
              </w:rPr>
              <w:t>☐ Higher accuracy or completeness</w:t>
            </w:r>
          </w:p>
        </w:tc>
      </w:tr>
      <w:tr>
        <w:trPr>
          <w:cantSplit/>
        </w:trPr>
        <w:tc>
          <w:tcPr>
            <w:tcW w:type="dxa" w:w="468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9"/>
              </w:rPr>
              <w:t>☐ More consistent format and content</w:t>
            </w:r>
          </w:p>
        </w:tc>
        <w:tc>
          <w:tcPr>
            <w:tcW w:type="dxa" w:w="468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9"/>
              </w:rPr>
              <w:t>☐ Faster response to changing conditions</w:t>
            </w:r>
          </w:p>
        </w:tc>
      </w:tr>
      <w:tr>
        <w:trPr>
          <w:cantSplit/>
        </w:trPr>
        <w:tc>
          <w:tcPr>
            <w:tcW w:type="dxa" w:w="468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9"/>
              </w:rPr>
              <w:t>☐ Greater surge capacity</w:t>
            </w:r>
          </w:p>
        </w:tc>
        <w:tc>
          <w:tcPr>
            <w:tcW w:type="dxa" w:w="468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9"/>
              </w:rPr>
              <w:t>☐ Better continuity across personnel turnover</w:t>
            </w:r>
          </w:p>
        </w:tc>
      </w:tr>
      <w:tr>
        <w:trPr>
          <w:cantSplit/>
        </w:trPr>
        <w:tc>
          <w:tcPr>
            <w:tcW w:type="dxa" w:w="468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9"/>
              </w:rPr>
              <w:t>☐ Stronger source traceability / auditability</w:t>
            </w:r>
          </w:p>
        </w:tc>
        <w:tc>
          <w:tcPr>
            <w:tcW w:type="dxa" w:w="468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9"/>
              </w:rPr>
              <w:t>☐ Reduced duplicate entry and handoffs</w:t>
            </w:r>
          </w:p>
        </w:tc>
      </w:tr>
      <w:tr>
        <w:trPr>
          <w:cantSplit/>
        </w:trPr>
        <w:tc>
          <w:tcPr>
            <w:tcW w:type="dxa" w:w="468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9"/>
              </w:rPr>
              <w:t>☐ More time for analysis and mission judgment</w:t>
            </w:r>
          </w:p>
        </w:tc>
        <w:tc>
          <w:tcPr>
            <w:tcW w:type="dxa" w:w="468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9"/>
              </w:rPr>
              <w:t>☐ Improved user confidence and adoption</w:t>
            </w:r>
          </w:p>
        </w:tc>
      </w:tr>
    </w:tbl>
    <w:p>
      <w:pPr>
        <w:spacing w:before="60" w:after="80"/>
      </w:pPr>
      <w:r>
        <w:rPr>
          <w:rFonts w:ascii="Calibri" w:hAnsi="Calibri"/>
          <w:i/>
          <w:color w:val="667085"/>
          <w:sz w:val="17"/>
        </w:rPr>
        <w:t>Select no more than four primary outcomes. A successful pilot should improve these outcomes without violating the guardrails in Section 4.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2050"/>
        <w:gridCol w:w="1700"/>
        <w:gridCol w:w="1900"/>
        <w:gridCol w:w="1200"/>
        <w:gridCol w:w="2510"/>
      </w:tblGrid>
      <w:tr>
        <w:trPr>
          <w:tblHeader w:val="true"/>
          <w:cantSplit/>
        </w:trPr>
        <w:tc>
          <w:tcPr>
            <w:tcW w:type="dxa" w:w="20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Outcome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Current baseline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Target / threshold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By when</w:t>
            </w:r>
          </w:p>
        </w:tc>
        <w:tc>
          <w:tcPr>
            <w:tcW w:type="dxa" w:w="25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Evidence source + owner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  <w:tc>
          <w:tcPr>
            <w:tcW w:type="dxa" w:w="2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  <w:tc>
          <w:tcPr>
            <w:tcW w:type="dxa" w:w="2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  <w:tc>
          <w:tcPr>
            <w:tcW w:type="dxa" w:w="2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  <w:tc>
          <w:tcPr>
            <w:tcW w:type="dxa" w:w="2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</w:tr>
    </w:tbl>
    <w:p>
      <w:pPr>
        <w:spacing w:after="0"/>
      </w:pPr>
    </w:p>
    <w:p>
      <w:pPr>
        <w:keepNext/>
        <w:spacing w:before="80" w:after="60"/>
      </w:pPr>
      <w:r>
        <w:rPr>
          <w:rFonts w:ascii="Calibri" w:hAnsi="Calibri"/>
          <w:b/>
          <w:color w:val="2E74B5"/>
          <w:sz w:val="21"/>
        </w:rPr>
        <w:t xml:space="preserve">3.1  </w:t>
      </w:r>
      <w:r>
        <w:rPr>
          <w:rFonts w:ascii="Calibri" w:hAnsi="Calibri"/>
          <w:b/>
          <w:color w:val="344054"/>
          <w:sz w:val="21"/>
        </w:rPr>
        <w:t>At 90 days, what must be measurably true for leadership to continue, expand, modify, or stop the effort?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i/>
                <w:color w:val="667085"/>
                <w:sz w:val="19"/>
              </w:rPr>
              <w:t>[Type response here]</w:t>
            </w:r>
            <w:r>
              <w:br/>
            </w:r>
            <w:r>
              <w:br/>
            </w:r>
          </w:p>
        </w:tc>
      </w:tr>
    </w:tbl>
    <w:p>
      <w:pPr>
        <w:spacing w:after="40"/>
      </w:pPr>
    </w:p>
    <w:p>
      <w:pPr>
        <w:keepNext/>
        <w:spacing w:before="80" w:after="60"/>
      </w:pPr>
      <w:r>
        <w:rPr>
          <w:rFonts w:ascii="Calibri" w:hAnsi="Calibri"/>
          <w:b/>
          <w:color w:val="2E74B5"/>
          <w:sz w:val="21"/>
        </w:rPr>
        <w:t xml:space="preserve">3.2  </w:t>
      </w:r>
      <w:r>
        <w:rPr>
          <w:rFonts w:ascii="Calibri" w:hAnsi="Calibri"/>
          <w:b/>
          <w:color w:val="344054"/>
          <w:sz w:val="21"/>
        </w:rPr>
        <w:t>If personnel regain time, where should that time be reinvested to produce mission value?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i/>
                <w:color w:val="667085"/>
                <w:sz w:val="19"/>
              </w:rPr>
              <w:t>[Type response here]</w:t>
            </w:r>
            <w:r>
              <w:br/>
            </w:r>
          </w:p>
        </w:tc>
      </w:tr>
    </w:tbl>
    <w:p>
      <w:pPr>
        <w:spacing w:after="40"/>
      </w:pPr>
    </w:p>
    <w:p>
      <w:pPr>
        <w:keepNext/>
        <w:spacing w:before="80" w:after="60"/>
      </w:pPr>
      <w:r>
        <w:rPr>
          <w:rFonts w:ascii="Calibri" w:hAnsi="Calibri"/>
          <w:b/>
          <w:color w:val="2E74B5"/>
          <w:sz w:val="21"/>
        </w:rPr>
        <w:t xml:space="preserve">3.3  </w:t>
      </w:r>
      <w:r>
        <w:rPr>
          <w:rFonts w:ascii="Calibri" w:hAnsi="Calibri"/>
          <w:b/>
          <w:color w:val="344054"/>
          <w:sz w:val="21"/>
        </w:rPr>
        <w:t>What result would look impressive but would not actually count as mission success?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i/>
                <w:color w:val="667085"/>
                <w:sz w:val="19"/>
              </w:rPr>
              <w:t>[Type response here]</w:t>
            </w:r>
            <w:r>
              <w:br/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4. Human Decision Authority and Guardrails</w:t>
      </w:r>
    </w:p>
    <w:p>
      <w:pPr>
        <w:spacing w:after="140"/>
      </w:pPr>
      <w:r>
        <w:rPr>
          <w:rFonts w:ascii="Calibri" w:hAnsi="Calibri"/>
          <w:i/>
          <w:color w:val="667085"/>
          <w:sz w:val="19"/>
        </w:rPr>
        <w:t>Set boundaries before selecting a tool. The system may assist; accountable people retain material mission decisions.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3300"/>
        <w:gridCol w:w="850"/>
        <w:gridCol w:w="1200"/>
        <w:gridCol w:w="900"/>
        <w:gridCol w:w="3110"/>
      </w:tblGrid>
      <w:tr>
        <w:trPr>
          <w:tblHeader w:val="true"/>
          <w:cantSplit/>
        </w:trPr>
        <w:tc>
          <w:tcPr>
            <w:tcW w:type="dxa" w:w="3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/>
                <w:b/>
                <w:color w:val="17365D"/>
                <w:sz w:val="16"/>
              </w:rPr>
              <w:t>Activity</w:t>
            </w:r>
          </w:p>
        </w:tc>
        <w:tc>
          <w:tcPr>
            <w:tcW w:type="dxa" w:w="8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/>
                <w:b/>
                <w:color w:val="17365D"/>
                <w:sz w:val="16"/>
              </w:rPr>
              <w:t>Allowed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/>
                <w:b/>
                <w:color w:val="17365D"/>
                <w:sz w:val="16"/>
              </w:rPr>
              <w:t>Case-by-case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/>
                <w:b/>
                <w:color w:val="17365D"/>
                <w:sz w:val="16"/>
              </w:rPr>
              <w:t>Prohibited</w:t>
            </w:r>
          </w:p>
        </w:tc>
        <w:tc>
          <w:tcPr>
            <w:tcW w:type="dxa" w:w="31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/>
                <w:b/>
                <w:color w:val="17365D"/>
                <w:sz w:val="16"/>
              </w:rPr>
              <w:t>Approver / condition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Find or retrieve approved source material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☐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☐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☐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Extract, summarize, or compare content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☐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☐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☐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Assemble a first draft from approved inputs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☐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☐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☐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Suggest phrasing, structure, or visuals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☐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☐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☐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Check format, completeness, and consistency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☐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☐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☐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Reconcile conflicting sources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☐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☐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☐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Make or recommend an operational decision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☐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☐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☐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Publish, release, transmit, or brief without review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☐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☐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☐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</w:tr>
    </w:tbl>
    <w:p>
      <w:pPr>
        <w:spacing w:after="0"/>
      </w:pPr>
    </w:p>
    <w:p>
      <w:pPr>
        <w:keepNext/>
        <w:spacing w:before="80" w:after="60"/>
      </w:pPr>
      <w:r>
        <w:rPr>
          <w:rFonts w:ascii="Calibri" w:hAnsi="Calibri"/>
          <w:b/>
          <w:color w:val="2E74B5"/>
          <w:sz w:val="21"/>
        </w:rPr>
        <w:t xml:space="preserve">4.1  </w:t>
      </w:r>
      <w:r>
        <w:rPr>
          <w:rFonts w:ascii="Calibri" w:hAnsi="Calibri"/>
          <w:b/>
          <w:color w:val="344054"/>
          <w:sz w:val="21"/>
        </w:rPr>
        <w:t>Which judgments must remain distinctly human, and who is accountable for them?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i/>
                <w:color w:val="667085"/>
                <w:sz w:val="19"/>
              </w:rPr>
              <w:t>[Type response here]</w:t>
            </w:r>
            <w:r>
              <w:br/>
            </w:r>
            <w:r>
              <w:br/>
            </w:r>
          </w:p>
        </w:tc>
      </w:tr>
    </w:tbl>
    <w:p>
      <w:pPr>
        <w:spacing w:after="40"/>
      </w:pPr>
    </w:p>
    <w:p>
      <w:pPr>
        <w:keepNext/>
        <w:spacing w:before="80" w:after="60"/>
      </w:pPr>
      <w:r>
        <w:rPr>
          <w:rFonts w:ascii="Calibri" w:hAnsi="Calibri"/>
          <w:b/>
          <w:color w:val="2E74B5"/>
          <w:sz w:val="21"/>
        </w:rPr>
        <w:t xml:space="preserve">4.2  </w:t>
      </w:r>
      <w:r>
        <w:rPr>
          <w:rFonts w:ascii="Calibri" w:hAnsi="Calibri"/>
          <w:b/>
          <w:color w:val="344054"/>
          <w:sz w:val="21"/>
        </w:rPr>
        <w:t>What failures are unacceptable even once? Which errors are tolerable only if detected before release?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i/>
                <w:color w:val="667085"/>
                <w:sz w:val="19"/>
              </w:rPr>
              <w:t>[Type response here]</w:t>
            </w:r>
            <w:r>
              <w:br/>
            </w:r>
            <w:r>
              <w:br/>
            </w:r>
          </w:p>
        </w:tc>
      </w:tr>
    </w:tbl>
    <w:p>
      <w:pPr>
        <w:spacing w:after="40"/>
      </w:pPr>
    </w:p>
    <w:p>
      <w:pPr>
        <w:keepNext/>
        <w:spacing w:before="80" w:after="60"/>
      </w:pPr>
      <w:r>
        <w:rPr>
          <w:rFonts w:ascii="Calibri" w:hAnsi="Calibri"/>
          <w:b/>
          <w:color w:val="2E74B5"/>
          <w:sz w:val="21"/>
        </w:rPr>
        <w:t xml:space="preserve">4.3  </w:t>
      </w:r>
      <w:r>
        <w:rPr>
          <w:rFonts w:ascii="Calibri" w:hAnsi="Calibri"/>
          <w:b/>
          <w:color w:val="344054"/>
          <w:sz w:val="21"/>
        </w:rPr>
        <w:t>What source traceability, citations, confidence indicators, or review evidence must accompany generated content?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i/>
                <w:color w:val="667085"/>
                <w:sz w:val="19"/>
              </w:rPr>
              <w:t>[Type response here]</w:t>
            </w:r>
            <w:r>
              <w:br/>
            </w:r>
          </w:p>
        </w:tc>
      </w:tr>
    </w:tbl>
    <w:p>
      <w:pPr>
        <w:spacing w:after="40"/>
      </w:pPr>
    </w:p>
    <w:p>
      <w:pPr>
        <w:keepNext/>
        <w:spacing w:before="80" w:after="60"/>
      </w:pPr>
      <w:r>
        <w:rPr>
          <w:rFonts w:ascii="Calibri" w:hAnsi="Calibri"/>
          <w:b/>
          <w:color w:val="2E74B5"/>
          <w:sz w:val="21"/>
        </w:rPr>
        <w:t xml:space="preserve">4.4  </w:t>
      </w:r>
      <w:r>
        <w:rPr>
          <w:rFonts w:ascii="Calibri" w:hAnsi="Calibri"/>
          <w:b/>
          <w:color w:val="344054"/>
          <w:sz w:val="21"/>
        </w:rPr>
        <w:t>Who has authority to approve the pilot, authorize production use, pause it, and retire it?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i/>
                <w:color w:val="667085"/>
                <w:sz w:val="19"/>
              </w:rPr>
              <w:t>[Type response here]</w:t>
            </w:r>
            <w:r>
              <w:br/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5. Constraints, Readiness, and Dependencies</w:t>
      </w:r>
    </w:p>
    <w:p>
      <w:pPr>
        <w:spacing w:after="140"/>
      </w:pPr>
      <w:r>
        <w:rPr>
          <w:rFonts w:ascii="Calibri" w:hAnsi="Calibri"/>
          <w:i/>
          <w:color w:val="667085"/>
          <w:sz w:val="19"/>
        </w:rPr>
        <w:t>Surface the conditions that determine whether a useful idea can be implemented safely and adopted in practice.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9"/>
              </w:rPr>
              <w:t>☐ Classification / compartmentation</w:t>
            </w:r>
          </w:p>
        </w:tc>
        <w:tc>
          <w:tcPr>
            <w:tcW w:type="dxa" w:w="468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9"/>
              </w:rPr>
              <w:t>☐ Approved network or hosting environment</w:t>
            </w:r>
          </w:p>
        </w:tc>
      </w:tr>
      <w:tr>
        <w:trPr>
          <w:cantSplit/>
        </w:trPr>
        <w:tc>
          <w:tcPr>
            <w:tcW w:type="dxa" w:w="468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9"/>
              </w:rPr>
              <w:t>☐ Data access or releasability</w:t>
            </w:r>
          </w:p>
        </w:tc>
        <w:tc>
          <w:tcPr>
            <w:tcW w:type="dxa" w:w="468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9"/>
              </w:rPr>
              <w:t>☐ Authoritative-source availability</w:t>
            </w:r>
          </w:p>
        </w:tc>
      </w:tr>
      <w:tr>
        <w:trPr>
          <w:cantSplit/>
        </w:trPr>
        <w:tc>
          <w:tcPr>
            <w:tcW w:type="dxa" w:w="468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9"/>
              </w:rPr>
              <w:t>☐ Cybersecurity approval</w:t>
            </w:r>
          </w:p>
        </w:tc>
        <w:tc>
          <w:tcPr>
            <w:tcW w:type="dxa" w:w="468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9"/>
              </w:rPr>
              <w:t>☐ Records retention / discoverability</w:t>
            </w:r>
          </w:p>
        </w:tc>
      </w:tr>
      <w:tr>
        <w:trPr>
          <w:cantSplit/>
        </w:trPr>
        <w:tc>
          <w:tcPr>
            <w:tcW w:type="dxa" w:w="468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9"/>
              </w:rPr>
              <w:t>☐ Identity, role, and permission controls</w:t>
            </w:r>
          </w:p>
        </w:tc>
        <w:tc>
          <w:tcPr>
            <w:tcW w:type="dxa" w:w="468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9"/>
              </w:rPr>
              <w:t>☐ Integration with existing systems</w:t>
            </w:r>
          </w:p>
        </w:tc>
      </w:tr>
      <w:tr>
        <w:trPr>
          <w:cantSplit/>
        </w:trPr>
        <w:tc>
          <w:tcPr>
            <w:tcW w:type="dxa" w:w="468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9"/>
              </w:rPr>
              <w:t>☐ Procurement or licensing</w:t>
            </w:r>
          </w:p>
        </w:tc>
        <w:tc>
          <w:tcPr>
            <w:tcW w:type="dxa" w:w="468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9"/>
              </w:rPr>
              <w:t>☐ Staff availability for discovery and testing</w:t>
            </w:r>
          </w:p>
        </w:tc>
      </w:tr>
      <w:tr>
        <w:trPr>
          <w:cantSplit/>
        </w:trPr>
        <w:tc>
          <w:tcPr>
            <w:tcW w:type="dxa" w:w="468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9"/>
              </w:rPr>
              <w:t>☐ Template / SOP inconsistency</w:t>
            </w:r>
          </w:p>
        </w:tc>
        <w:tc>
          <w:tcPr>
            <w:tcW w:type="dxa" w:w="468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9"/>
              </w:rPr>
              <w:t>☐ Trust, adoption, or workforce concern</w:t>
            </w:r>
          </w:p>
        </w:tc>
      </w:tr>
      <w:tr>
        <w:trPr>
          <w:cantSplit/>
        </w:trPr>
        <w:tc>
          <w:tcPr>
            <w:tcW w:type="dxa" w:w="468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9"/>
              </w:rPr>
              <w:t>☐ Training and support capacity</w:t>
            </w:r>
          </w:p>
        </w:tc>
        <w:tc>
          <w:tcPr>
            <w:tcW w:type="dxa" w:w="468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9"/>
              </w:rPr>
              <w:t>☐ External policy or legal constraint</w:t>
            </w:r>
          </w:p>
        </w:tc>
      </w:tr>
    </w:tbl>
    <w:p>
      <w:pPr>
        <w:spacing w:before="60" w:after="80"/>
      </w:pPr>
      <w:r>
        <w:rPr>
          <w:rFonts w:ascii="Calibri" w:hAnsi="Calibri"/>
          <w:i/>
          <w:color w:val="667085"/>
          <w:sz w:val="17"/>
        </w:rPr>
        <w:t>Check every constraint that could materially affect scope, schedule, data access, or acceptable design.</w:t>
      </w:r>
    </w:p>
    <w:p>
      <w:pPr>
        <w:keepNext/>
        <w:spacing w:before="80" w:after="60"/>
      </w:pPr>
      <w:r>
        <w:rPr>
          <w:rFonts w:ascii="Calibri" w:hAnsi="Calibri"/>
          <w:b/>
          <w:color w:val="2E74B5"/>
          <w:sz w:val="21"/>
        </w:rPr>
        <w:t xml:space="preserve">5.1  </w:t>
      </w:r>
      <w:r>
        <w:rPr>
          <w:rFonts w:ascii="Calibri" w:hAnsi="Calibri"/>
          <w:b/>
          <w:color w:val="344054"/>
          <w:sz w:val="21"/>
        </w:rPr>
        <w:t>Which systems, repositories, templates, and data sources are approved and authoritative?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i/>
                <w:color w:val="667085"/>
                <w:sz w:val="19"/>
              </w:rPr>
              <w:t>[Type response here]</w:t>
            </w:r>
            <w:r>
              <w:br/>
            </w:r>
            <w:r>
              <w:br/>
            </w:r>
          </w:p>
        </w:tc>
      </w:tr>
    </w:tbl>
    <w:p>
      <w:pPr>
        <w:spacing w:after="40"/>
      </w:pPr>
    </w:p>
    <w:p>
      <w:pPr>
        <w:keepNext/>
        <w:spacing w:before="80" w:after="60"/>
      </w:pPr>
      <w:r>
        <w:rPr>
          <w:rFonts w:ascii="Calibri" w:hAnsi="Calibri"/>
          <w:b/>
          <w:color w:val="2E74B5"/>
          <w:sz w:val="21"/>
        </w:rPr>
        <w:t xml:space="preserve">5.2  </w:t>
      </w:r>
      <w:r>
        <w:rPr>
          <w:rFonts w:ascii="Calibri" w:hAnsi="Calibri"/>
          <w:b/>
          <w:color w:val="344054"/>
          <w:sz w:val="21"/>
        </w:rPr>
        <w:t>What must be true before real mission data can be used in discovery, testing, or evaluation?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i/>
                <w:color w:val="667085"/>
                <w:sz w:val="19"/>
              </w:rPr>
              <w:t>[Type response here]</w:t>
            </w:r>
            <w:r>
              <w:br/>
            </w:r>
            <w:r>
              <w:br/>
            </w:r>
          </w:p>
        </w:tc>
      </w:tr>
    </w:tbl>
    <w:p>
      <w:pPr>
        <w:spacing w:after="40"/>
      </w:pPr>
    </w:p>
    <w:p>
      <w:pPr>
        <w:keepNext/>
        <w:spacing w:before="80" w:after="60"/>
      </w:pPr>
      <w:r>
        <w:rPr>
          <w:rFonts w:ascii="Calibri" w:hAnsi="Calibri"/>
          <w:b/>
          <w:color w:val="2E74B5"/>
          <w:sz w:val="21"/>
        </w:rPr>
        <w:t xml:space="preserve">5.3  </w:t>
      </w:r>
      <w:r>
        <w:rPr>
          <w:rFonts w:ascii="Calibri" w:hAnsi="Calibri"/>
          <w:b/>
          <w:color w:val="344054"/>
          <w:sz w:val="21"/>
        </w:rPr>
        <w:t>Where is the unit ready to experiment, and where is it not ready?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i/>
                <w:color w:val="667085"/>
                <w:sz w:val="19"/>
              </w:rPr>
              <w:t>[Type response here]</w:t>
            </w:r>
            <w:r>
              <w:br/>
            </w:r>
          </w:p>
        </w:tc>
      </w:tr>
    </w:tbl>
    <w:p>
      <w:pPr>
        <w:spacing w:after="40"/>
      </w:pPr>
    </w:p>
    <w:p>
      <w:pPr>
        <w:keepNext/>
        <w:spacing w:before="80" w:after="60"/>
      </w:pPr>
      <w:r>
        <w:rPr>
          <w:rFonts w:ascii="Calibri" w:hAnsi="Calibri"/>
          <w:b/>
          <w:color w:val="2E74B5"/>
          <w:sz w:val="21"/>
        </w:rPr>
        <w:t xml:space="preserve">5.4  </w:t>
      </w:r>
      <w:r>
        <w:rPr>
          <w:rFonts w:ascii="Calibri" w:hAnsi="Calibri"/>
          <w:b/>
          <w:color w:val="344054"/>
          <w:sz w:val="21"/>
        </w:rPr>
        <w:t>What other initiatives, dependencies, or competing priorities could help or hinder this work?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i/>
                <w:color w:val="667085"/>
                <w:sz w:val="19"/>
              </w:rPr>
              <w:t>[Type response here]</w:t>
            </w:r>
            <w:r>
              <w:br/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6. Ownership, Adoption, and Operating Model</w:t>
      </w:r>
    </w:p>
    <w:p>
      <w:pPr>
        <w:spacing w:after="140"/>
      </w:pPr>
      <w:r>
        <w:rPr>
          <w:rFonts w:ascii="Calibri" w:hAnsi="Calibri"/>
          <w:i/>
          <w:color w:val="667085"/>
          <w:sz w:val="19"/>
        </w:rPr>
        <w:t>Identify the coalition that will sponsor, govern, test, and sustain the capability.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2100"/>
        <w:gridCol w:w="2200"/>
        <w:gridCol w:w="2960"/>
        <w:gridCol w:w="2100"/>
      </w:tblGrid>
      <w:tr>
        <w:trPr>
          <w:tblHeader w:val="true"/>
          <w:cantSplit/>
        </w:trP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Required role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Named person / office</w:t>
            </w:r>
          </w:p>
        </w:tc>
        <w:tc>
          <w:tcPr>
            <w:tcW w:type="dxa" w:w="29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Authority or contribution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Availability / decision cadence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Executive sponsor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Mission / product owner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Product creators / SMEs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Cyber / security / data authority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Technical / integration owner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Training / change lead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Evaluation / evidence owner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</w:tr>
    </w:tbl>
    <w:p>
      <w:pPr>
        <w:spacing w:after="0"/>
      </w:pPr>
    </w:p>
    <w:p>
      <w:pPr>
        <w:keepNext/>
        <w:spacing w:before="80" w:after="60"/>
      </w:pPr>
      <w:r>
        <w:rPr>
          <w:rFonts w:ascii="Calibri" w:hAnsi="Calibri"/>
          <w:b/>
          <w:color w:val="2E74B5"/>
          <w:sz w:val="21"/>
        </w:rPr>
        <w:t xml:space="preserve">6.1  </w:t>
      </w:r>
      <w:r>
        <w:rPr>
          <w:rFonts w:ascii="Calibri" w:hAnsi="Calibri"/>
          <w:b/>
          <w:color w:val="344054"/>
          <w:sz w:val="21"/>
        </w:rPr>
        <w:t>What concerns are people likely to have about quality, control, workload, roles, or workforce impact?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i/>
                <w:color w:val="667085"/>
                <w:sz w:val="19"/>
              </w:rPr>
              <w:t>[Type response here]</w:t>
            </w:r>
            <w:r>
              <w:br/>
            </w:r>
            <w:r>
              <w:br/>
            </w:r>
          </w:p>
        </w:tc>
      </w:tr>
    </w:tbl>
    <w:p>
      <w:pPr>
        <w:spacing w:after="40"/>
      </w:pPr>
    </w:p>
    <w:p>
      <w:pPr>
        <w:keepNext/>
        <w:spacing w:before="80" w:after="60"/>
      </w:pPr>
      <w:r>
        <w:rPr>
          <w:rFonts w:ascii="Calibri" w:hAnsi="Calibri"/>
          <w:b/>
          <w:color w:val="2E74B5"/>
          <w:sz w:val="21"/>
        </w:rPr>
        <w:t xml:space="preserve">6.2  </w:t>
      </w:r>
      <w:r>
        <w:rPr>
          <w:rFonts w:ascii="Calibri" w:hAnsi="Calibri"/>
          <w:b/>
          <w:color w:val="344054"/>
          <w:sz w:val="21"/>
        </w:rPr>
        <w:t>How will leadership communicate the purpose of the effort and invite honest feedback without pressuring people to report success?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i/>
                <w:color w:val="667085"/>
                <w:sz w:val="19"/>
              </w:rPr>
              <w:t>[Type response here]</w:t>
            </w:r>
            <w:r>
              <w:br/>
            </w:r>
            <w:r>
              <w:br/>
            </w:r>
          </w:p>
        </w:tc>
      </w:tr>
    </w:tbl>
    <w:p>
      <w:pPr>
        <w:spacing w:after="40"/>
      </w:pPr>
    </w:p>
    <w:p>
      <w:pPr>
        <w:keepNext/>
        <w:spacing w:before="80" w:after="60"/>
      </w:pPr>
      <w:r>
        <w:rPr>
          <w:rFonts w:ascii="Calibri" w:hAnsi="Calibri"/>
          <w:b/>
          <w:color w:val="2E74B5"/>
          <w:sz w:val="21"/>
        </w:rPr>
        <w:t xml:space="preserve">6.3  </w:t>
      </w:r>
      <w:r>
        <w:rPr>
          <w:rFonts w:ascii="Calibri" w:hAnsi="Calibri"/>
          <w:b/>
          <w:color w:val="344054"/>
          <w:sz w:val="21"/>
        </w:rPr>
        <w:t>Who will own the capability after the consulting engagement ends?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i/>
                <w:color w:val="667085"/>
                <w:sz w:val="19"/>
              </w:rPr>
              <w:t>[Type response here]</w:t>
            </w:r>
            <w:r>
              <w:br/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7. Leadership Commitment and Final Priorities</w:t>
      </w:r>
    </w:p>
    <w:p>
      <w:pPr>
        <w:spacing w:after="140"/>
      </w:pPr>
      <w:r>
        <w:rPr>
          <w:rFonts w:ascii="Calibri" w:hAnsi="Calibri"/>
          <w:i/>
          <w:color w:val="667085"/>
          <w:sz w:val="19"/>
        </w:rPr>
        <w:t>Close with explicit priorities, decision criteria, and access commitments.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700"/>
        <w:gridCol w:w="2400"/>
        <w:gridCol w:w="2300"/>
        <w:gridCol w:w="2060"/>
        <w:gridCol w:w="1900"/>
      </w:tblGrid>
      <w:tr>
        <w:trPr>
          <w:tblHeader w:val="true"/>
          <w:cantSplit/>
        </w:trPr>
        <w:tc>
          <w:tcPr>
            <w:tcW w:type="dxa" w:w="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Rank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Product / use case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Mission outcome</w:t>
            </w:r>
          </w:p>
        </w:tc>
        <w:tc>
          <w:tcPr>
            <w:tcW w:type="dxa" w:w="2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Why now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Pilot decision owner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1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2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3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</w:tr>
    </w:tbl>
    <w:p>
      <w:pPr>
        <w:spacing w:after="0"/>
      </w:pPr>
    </w:p>
    <w:p>
      <w:pPr>
        <w:keepNext/>
        <w:spacing w:before="80" w:after="60"/>
      </w:pPr>
      <w:r>
        <w:rPr>
          <w:rFonts w:ascii="Calibri" w:hAnsi="Calibri"/>
          <w:b/>
          <w:color w:val="2E74B5"/>
          <w:sz w:val="21"/>
        </w:rPr>
        <w:t xml:space="preserve">7.1  </w:t>
      </w:r>
      <w:r>
        <w:rPr>
          <w:rFonts w:ascii="Calibri" w:hAnsi="Calibri"/>
          <w:b/>
          <w:color w:val="344054"/>
          <w:sz w:val="21"/>
        </w:rPr>
        <w:t>Complete this sentence: This engagement will be successful if, by [date], the unit can ______ while preserving ______, as demonstrated by ______.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i/>
                <w:color w:val="667085"/>
                <w:sz w:val="19"/>
              </w:rPr>
              <w:t>[Type response here]</w:t>
            </w:r>
            <w:r>
              <w:br/>
            </w:r>
            <w:r>
              <w:br/>
            </w:r>
          </w:p>
        </w:tc>
      </w:tr>
    </w:tbl>
    <w:p>
      <w:pPr>
        <w:spacing w:after="40"/>
      </w:pPr>
    </w:p>
    <w:p>
      <w:pPr>
        <w:keepNext/>
        <w:spacing w:before="80" w:after="60"/>
      </w:pPr>
      <w:r>
        <w:rPr>
          <w:rFonts w:ascii="Calibri" w:hAnsi="Calibri"/>
          <w:b/>
          <w:color w:val="2E74B5"/>
          <w:sz w:val="21"/>
        </w:rPr>
        <w:t xml:space="preserve">7.2  </w:t>
      </w:r>
      <w:r>
        <w:rPr>
          <w:rFonts w:ascii="Calibri" w:hAnsi="Calibri"/>
          <w:b/>
          <w:color w:val="344054"/>
          <w:sz w:val="21"/>
        </w:rPr>
        <w:t>What access, personnel time, sample artifacts, and decisions will leadership commit to make available?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i/>
                <w:color w:val="667085"/>
                <w:sz w:val="19"/>
              </w:rPr>
              <w:t>[Type response here]</w:t>
            </w:r>
            <w:r>
              <w:br/>
            </w:r>
            <w:r>
              <w:br/>
            </w:r>
          </w:p>
        </w:tc>
      </w:tr>
    </w:tbl>
    <w:p>
      <w:pPr>
        <w:spacing w:after="40"/>
      </w:pPr>
    </w:p>
    <w:p>
      <w:pPr>
        <w:keepNext/>
        <w:spacing w:before="80" w:after="60"/>
      </w:pPr>
      <w:r>
        <w:rPr>
          <w:rFonts w:ascii="Calibri" w:hAnsi="Calibri"/>
          <w:b/>
          <w:color w:val="2E74B5"/>
          <w:sz w:val="21"/>
        </w:rPr>
        <w:t xml:space="preserve">7.3  </w:t>
      </w:r>
      <w:r>
        <w:rPr>
          <w:rFonts w:ascii="Calibri" w:hAnsi="Calibri"/>
          <w:b/>
          <w:color w:val="344054"/>
          <w:sz w:val="21"/>
        </w:rPr>
        <w:t>What is explicitly out of scope for this engagement?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i/>
                <w:color w:val="667085"/>
                <w:sz w:val="19"/>
              </w:rPr>
              <w:t>[Type response here]</w:t>
            </w:r>
            <w:r>
              <w:br/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Leadership confirmation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2300"/>
        <w:gridCol w:w="2600"/>
        <w:gridCol w:w="2960"/>
        <w:gridCol w:w="1500"/>
      </w:tblGrid>
      <w:tr>
        <w:trPr>
          <w:tblHeader w:val="true"/>
          <w:cantSplit/>
        </w:trPr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Name / role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Decision</w:t>
            </w:r>
          </w:p>
        </w:tc>
        <w:tc>
          <w:tcPr>
            <w:tcW w:type="dxa" w:w="29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Signature or concurrence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Date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☐ Proceed  ☐ Revise  ☐ Hold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☐ Proceed  ☐ Revise  ☐ Hold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☐ Proceed  ☐ Revise  ☐ Hold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8. Consultant Synthesis</w:t>
      </w:r>
    </w:p>
    <w:p>
      <w:pPr>
        <w:spacing w:after="140"/>
      </w:pPr>
      <w:r>
        <w:rPr>
          <w:rFonts w:ascii="Calibri" w:hAnsi="Calibri"/>
          <w:i/>
          <w:color w:val="667085"/>
          <w:sz w:val="19"/>
        </w:rPr>
        <w:t>Complete after comparing leadership responses with workflow evidence. Record observations, interpretations, decisions, and unresolved assumptions separately.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Category</w:t>
            </w:r>
          </w:p>
        </w:tc>
        <w:tc>
          <w:tcPr>
            <w:tcW w:type="dxa" w:w="7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Synthesis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8"/>
              </w:rPr>
              <w:t>Direct observations / evidence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8"/>
              </w:rPr>
              <w:t>[Enter]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8"/>
              </w:rPr>
              <w:t>Patterns or tensions to investigate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8"/>
              </w:rPr>
              <w:t>[Enter]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8"/>
              </w:rPr>
              <w:t>Current interpretation (not yet fact)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8"/>
              </w:rPr>
              <w:t>[Enter]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8"/>
              </w:rPr>
              <w:t>Agreed decisions and boundaries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8"/>
              </w:rPr>
              <w:t>[Enter]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8"/>
              </w:rPr>
              <w:t>Open assumptions / evidence needed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8"/>
              </w:rPr>
              <w:t>[Enter]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Initial use-case screen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2300"/>
        <w:gridCol w:w="1200"/>
        <w:gridCol w:w="1200"/>
        <w:gridCol w:w="1600"/>
        <w:gridCol w:w="1400"/>
        <w:gridCol w:w="1660"/>
      </w:tblGrid>
      <w:tr>
        <w:trPr>
          <w:tblHeader w:val="true"/>
          <w:cantSplit/>
        </w:trPr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/>
                <w:b/>
                <w:color w:val="17365D"/>
                <w:sz w:val="16"/>
              </w:rPr>
              <w:t>Candidate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/>
                <w:b/>
                <w:color w:val="17365D"/>
                <w:sz w:val="16"/>
              </w:rPr>
              <w:t>Mission value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/>
                <w:b/>
                <w:color w:val="17365D"/>
                <w:sz w:val="16"/>
              </w:rPr>
              <w:t>Feasibility</w:t>
            </w:r>
          </w:p>
        </w:tc>
        <w:tc>
          <w:tcPr>
            <w:tcW w:type="dxa" w:w="1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/>
                <w:b/>
                <w:color w:val="17365D"/>
                <w:sz w:val="16"/>
              </w:rPr>
              <w:t>Risk / guardrail load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/>
                <w:b/>
                <w:color w:val="17365D"/>
                <w:sz w:val="16"/>
              </w:rPr>
              <w:t>Evidence readiness</w:t>
            </w:r>
          </w:p>
        </w:tc>
        <w:tc>
          <w:tcPr>
            <w:tcW w:type="dxa" w:w="1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/>
                <w:b/>
                <w:color w:val="17365D"/>
                <w:sz w:val="16"/>
              </w:rPr>
              <w:t>Recommendation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[L/M/H]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[L/M/H]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[L/M/H]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[L/M/H]</w:t>
            </w:r>
          </w:p>
        </w:tc>
        <w:tc>
          <w:tcPr>
            <w:tcW w:type="dxa" w:w="1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[Explore / Defer / Decline]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[L/M/H]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[L/M/H]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[L/M/H]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[L/M/H]</w:t>
            </w:r>
          </w:p>
        </w:tc>
        <w:tc>
          <w:tcPr>
            <w:tcW w:type="dxa" w:w="1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[Explore / Defer / Decline]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[L/M/H]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[L/M/H]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[L/M/H]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[L/M/H]</w:t>
            </w:r>
          </w:p>
        </w:tc>
        <w:tc>
          <w:tcPr>
            <w:tcW w:type="dxa" w:w="1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[Explore / Defer / Decline]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[L/M/H]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[L/M/H]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[L/M/H]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[L/M/H]</w:t>
            </w:r>
          </w:p>
        </w:tc>
        <w:tc>
          <w:tcPr>
            <w:tcW w:type="dxa" w:w="1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[Explore / Defer / Decline]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[Enter]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[L/M/H]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[L/M/H]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[L/M/H]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[L/M/H]</w:t>
            </w:r>
          </w:p>
        </w:tc>
        <w:tc>
          <w:tcPr>
            <w:tcW w:type="dxa" w:w="1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Calibri" w:hAnsi="Calibri"/>
                <w:b w:val="0"/>
                <w:color w:val="344054"/>
                <w:sz w:val="17"/>
              </w:rPr>
              <w:t>[Explore / Defer / Decline]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2CE"/>
          <w:left w:val="single" w:sz="7" w:space="0" w:color="B9C2CE"/>
          <w:bottom w:val="single" w:sz="7" w:space="0" w:color="B9C2CE"/>
          <w:right w:val="single" w:sz="7" w:space="0" w:color="B9C2CE"/>
          <w:insideH w:val="single" w:sz="7" w:space="0" w:color="B9C2CE"/>
          <w:insideV w:val="single" w:sz="7" w:space="0" w:color="B9C2C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 xml:space="preserve">Design basis: </w:t>
            </w:r>
            <w:r>
              <w:rPr>
                <w:rFonts w:ascii="Calibri" w:hAnsi="Calibri"/>
                <w:color w:val="344054"/>
                <w:sz w:val="18"/>
              </w:rPr>
              <w:t>Lead Emergence sequence (See Reality, Reframe, Align, Build Capability, Produce Value, See Again); evidence before framework matching; human authorization; measurable value hypotheses; role and workflow evidence; readiness, trust, governance, and consequence-aware AI adoption.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</w:pPr>
    <w:r>
      <w:rPr>
        <w:rFonts w:ascii="Calibri" w:hAnsi="Calibri"/>
        <w:color w:val="667085"/>
        <w:sz w:val="15"/>
      </w:rPr>
      <w:t>Handle in accordance with unit security and records policies</w:t>
    </w:r>
    <w:r>
      <w:rPr>
        <w:rFonts w:ascii="Calibri" w:hAnsi="Calibri"/>
        <w:color w:val="667085"/>
        <w:sz w:val="15"/>
      </w:rPr>
      <w:t xml:space="preserve">    |    Page </w:t>
    </w:r>
    <w:r>
      <w:rPr>
        <w:rFonts w:ascii="Calibri" w:hAnsi="Calibri"/>
        <w:color w:val="667085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2E74B5"/>
        <w:sz w:val="16"/>
      </w:rPr>
      <w:t>MISSION PRODUCT AUTOMATION DISCOVERY</w:t>
    </w:r>
    <w:r>
      <w:rPr>
        <w:rFonts w:ascii="Calibri" w:hAnsi="Calibri"/>
        <w:color w:val="667085"/>
        <w:sz w:val="16"/>
      </w:rPr>
      <w:t xml:space="preserve">   |   Leadership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34405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