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center"/>
      </w:pPr>
      <w:r>
        <w:rPr>
          <w:rFonts w:ascii="Arial" w:cs="Arial" w:eastAsia="Arial" w:hAnsi="Arial"/>
          <w:b/>
          <w:bCs/>
          <w:i w:val="false"/>
          <w:iCs w:val="false"/>
          <w:color w:val="2A3453"/>
          <w:sz w:val="52"/>
          <w:szCs w:val="52"/>
          <w:rtl/>
        </w:rPr>
        <w:t xml:space="preserve">وثيقة المتطلبات التفصيلية (PRD)</w:t>
      </w:r>
    </w:p>
    <w:p>
      <w:pPr>
        <w:pBdr>
          <w:bottom w:val="single" w:color="2EA795" w:sz="24" w:space="1"/>
        </w:pBdr>
        <w:spacing w:after="200"/>
        <w:jc w:val="center"/>
      </w:pPr>
    </w:p>
    <w:p>
      <w:pPr>
        <w:shd w:fill="2A3453" w:color="auto" w:val="clear"/>
        <w:bidi/>
        <w:spacing w:after="260" w:before="40" w:line="300"/>
        <w:jc w:val="center"/>
      </w:pPr>
      <w:r>
        <w:rPr>
          <w:rFonts w:ascii="Arial" w:cs="Arial" w:eastAsia="Arial" w:hAnsi="Arial"/>
          <w:b/>
          <w:bCs/>
          <w:color w:val="FFFFFF"/>
          <w:sz w:val="26"/>
          <w:szCs w:val="26"/>
          <w:rtl/>
        </w:rPr>
        <w:t xml:space="preserve">نظام ذكي لمتابعة مخزون الأدوية والتنبؤ بالنقص</w:t>
      </w:r>
    </w:p>
    <w:p>
      <w:pPr>
        <w:pBdr>
          <w:bottom w:val="single" w:color="2EA795" w:sz="12" w:space="6"/>
        </w:pBdr>
        <w:bidi/>
        <w:spacing w:after="140" w:before="320"/>
        <w:jc w:val="right"/>
      </w:pPr>
      <w:r>
        <w:rPr>
          <w:rFonts w:ascii="Arial" w:cs="Arial" w:eastAsia="Arial" w:hAnsi="Arial"/>
          <w:b/>
          <w:bCs/>
          <w:i w:val="false"/>
          <w:iCs w:val="false"/>
          <w:color w:val="2A3453"/>
          <w:sz w:val="30"/>
          <w:szCs w:val="30"/>
          <w:rtl/>
        </w:rPr>
        <w:t xml:space="preserve">ملخّص المشروع</w:t>
      </w:r>
      <w:r>
        <w:rPr>
          <w:rFonts w:ascii="Arial" w:cs="Arial" w:eastAsia="Arial" w:hAnsi="Arial"/>
          <w:b/>
          <w:bCs/>
          <w:color w:val="2EA795"/>
          <w:sz w:val="20"/>
          <w:szCs w:val="20"/>
          <w:rtl/>
        </w:rPr>
        <w:t xml:space="preserve">   PRD</w:t>
      </w:r>
    </w:p>
    <w:tbl>
      <w:tblPr>
        <w:bidiVisual/>
        <w:tblW w:type="dxa" w:w="9026"/>
        <w:tblBorders>
          <w:top w:val="single" w:color="ECEBF3" w:sz="2"/>
          <w:left w:val="single" w:color="ECEBF3" w:sz="2"/>
          <w:bottom w:val="single" w:color="ECEBF3" w:sz="2"/>
          <w:right w:val="single" w:color="ECEBF3" w:sz="2"/>
          <w:insideH w:val="single" w:color="ECEBF3" w:sz="2"/>
          <w:insideV w:val="single" w:color="ECEBF3" w:sz="2"/>
        </w:tblBorders>
      </w:tblPr>
      <w:tblGrid>
        <w:gridCol w:w="2200"/>
        <w:gridCol w:w="6826"/>
      </w:tblGrid>
      <w:tr>
        <w:trPr>
          <w:tblHeader/>
        </w:trPr>
        <w:tc>
          <w:tcPr>
            <w:tcW w:type="dxa" w:w="2200"/>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القسم</w:t>
            </w:r>
          </w:p>
        </w:tc>
        <w:tc>
          <w:tcPr>
            <w:tcW w:type="dxa" w:w="6826"/>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المحتوى</w:t>
            </w:r>
          </w:p>
        </w:tc>
      </w:tr>
      <w:tr>
        <w:tc>
          <w:tcPr>
            <w:tcW w:type="dxa" w:w="22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المشكلة</w:t>
            </w:r>
          </w:p>
        </w:tc>
        <w:tc>
          <w:tcPr>
            <w:tcW w:type="dxa" w:w="68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نفاد أو انخفاض مخزون الأدوية، وغياب آلية مبكرة للتنبؤ بالنقص وإعادة التوريد، خصوصًا عند الظروف الجوية.</w:t>
            </w:r>
          </w:p>
        </w:tc>
      </w:tr>
      <w:tr>
        <w:tc>
          <w:tcPr>
            <w:tcW w:type="dxa" w:w="22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المستخدمون</w:t>
            </w:r>
          </w:p>
        </w:tc>
        <w:tc>
          <w:tcPr>
            <w:tcW w:type="dxa" w:w="6826"/>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الصيادلة، الأطباء، التمريض، مسؤولو المخزون والتوريد، والمريض كمستفيد نهائي.</w:t>
            </w:r>
          </w:p>
        </w:tc>
      </w:tr>
      <w:tr>
        <w:tc>
          <w:tcPr>
            <w:tcW w:type="dxa" w:w="22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الوظائف</w:t>
            </w:r>
          </w:p>
        </w:tc>
        <w:tc>
          <w:tcPr>
            <w:tcW w:type="dxa" w:w="68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متابعة لحظية، تنبيه قبل النفاد، تنبؤ بالاحتياج، أولويات، تتبّع توريد، اقتراح بدائل.</w:t>
            </w:r>
          </w:p>
        </w:tc>
      </w:tr>
      <w:tr>
        <w:tc>
          <w:tcPr>
            <w:tcW w:type="dxa" w:w="22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التصميم</w:t>
            </w:r>
          </w:p>
        </w:tc>
        <w:tc>
          <w:tcPr>
            <w:tcW w:type="dxa" w:w="6826"/>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واجهة بسيطة، حالة المخزون بالألوان (متوفر/منخفض/حرج)، لوحة تحكم بالتنبيهات والتوقعات.</w:t>
            </w:r>
          </w:p>
        </w:tc>
      </w:tr>
      <w:tr>
        <w:tc>
          <w:tcPr>
            <w:tcW w:type="dxa" w:w="22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النجاح</w:t>
            </w:r>
          </w:p>
        </w:tc>
        <w:tc>
          <w:tcPr>
            <w:tcW w:type="dxa" w:w="68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تقليل النفاد، ترشيد الاستهلاك، التنبؤ بالنقص، وضمان الصرف في الوقت المناسب حتى في الطوارئ.</w:t>
            </w:r>
          </w:p>
        </w:tc>
      </w:tr>
    </w:tbl>
    <w:p>
      <w:pPr>
        <w:pBdr>
          <w:bottom w:val="single" w:color="2EA795" w:sz="12" w:space="6"/>
        </w:pBdr>
        <w:bidi/>
        <w:spacing w:after="140" w:before="320"/>
        <w:jc w:val="right"/>
      </w:pPr>
      <w:r>
        <w:rPr>
          <w:rFonts w:ascii="Arial" w:cs="Arial" w:eastAsia="Arial" w:hAnsi="Arial"/>
          <w:b/>
          <w:bCs/>
          <w:i w:val="false"/>
          <w:iCs w:val="false"/>
          <w:color w:val="2A3453"/>
          <w:sz w:val="30"/>
          <w:szCs w:val="30"/>
          <w:rtl/>
        </w:rPr>
        <w:t xml:space="preserve">نظرة عامة على المنتج</w:t>
      </w:r>
      <w:r>
        <w:rPr>
          <w:rFonts w:ascii="Arial" w:cs="Arial" w:eastAsia="Arial" w:hAnsi="Arial"/>
          <w:b/>
          <w:bCs/>
          <w:color w:val="2EA795"/>
          <w:sz w:val="20"/>
          <w:szCs w:val="20"/>
          <w:rtl/>
        </w:rPr>
        <w:t xml:space="preserve">   01</w:t>
      </w:r>
    </w:p>
    <w:p>
      <w:pPr>
        <w:bidi/>
        <w:spacing w:after="120" w:before="40" w:line="300"/>
        <w:jc w:val="right"/>
      </w:pPr>
      <w:r>
        <w:rPr>
          <w:rFonts w:ascii="Arial" w:cs="Arial" w:eastAsia="Arial" w:hAnsi="Arial"/>
          <w:b w:val="false"/>
          <w:bCs w:val="false"/>
          <w:i w:val="false"/>
          <w:iCs w:val="false"/>
          <w:color w:val="3F4759"/>
          <w:sz w:val="22"/>
          <w:szCs w:val="22"/>
          <w:rtl/>
        </w:rPr>
        <w:t xml:space="preserve">نظام يوفّر رؤية لحظية لمخزون الأدوية داخل المستشفى، ويتنبّأ بالنقص قبل حدوثه اعتمادًا على معدلات الاستهلاك، ويربط بيانات المخزون بحالة طلبات التوريد والظروف الجوية. الهدف النهائي هو ضمان توفّر الدواء وصرفه للمريض في الوقت المناسب، وتقليل الهدر، ودعم اتخاذ القرار الاستباقي بدل ردّ الفعل بعد حدوث النقص.</w:t>
      </w:r>
    </w:p>
    <w:p>
      <w:pPr>
        <w:pBdr>
          <w:bottom w:val="single" w:color="2EA795" w:sz="12" w:space="6"/>
        </w:pBdr>
        <w:bidi/>
        <w:spacing w:after="140" w:before="320"/>
        <w:jc w:val="right"/>
      </w:pPr>
      <w:r>
        <w:rPr>
          <w:rFonts w:ascii="Arial" w:cs="Arial" w:eastAsia="Arial" w:hAnsi="Arial"/>
          <w:b/>
          <w:bCs/>
          <w:i w:val="false"/>
          <w:iCs w:val="false"/>
          <w:color w:val="2A3453"/>
          <w:sz w:val="30"/>
          <w:szCs w:val="30"/>
          <w:rtl/>
        </w:rPr>
        <w:t xml:space="preserve">الأهداف ومؤشرات النجاح (KPIs)</w:t>
      </w:r>
      <w:r>
        <w:rPr>
          <w:rFonts w:ascii="Arial" w:cs="Arial" w:eastAsia="Arial" w:hAnsi="Arial"/>
          <w:b/>
          <w:bCs/>
          <w:color w:val="2EA795"/>
          <w:sz w:val="20"/>
          <w:szCs w:val="20"/>
          <w:rtl/>
        </w:rPr>
        <w:t xml:space="preserve">   02</w:t>
      </w:r>
    </w:p>
    <w:tbl>
      <w:tblPr>
        <w:bidiVisual/>
        <w:tblW w:type="dxa" w:w="9026"/>
        <w:tblBorders>
          <w:top w:val="single" w:color="ECEBF3" w:sz="2"/>
          <w:left w:val="single" w:color="ECEBF3" w:sz="2"/>
          <w:bottom w:val="single" w:color="ECEBF3" w:sz="2"/>
          <w:right w:val="single" w:color="ECEBF3" w:sz="2"/>
          <w:insideH w:val="single" w:color="ECEBF3" w:sz="2"/>
          <w:insideV w:val="single" w:color="ECEBF3" w:sz="2"/>
        </w:tblBorders>
      </w:tblPr>
      <w:tblGrid>
        <w:gridCol w:w="3600"/>
        <w:gridCol w:w="3400"/>
        <w:gridCol w:w="2026"/>
      </w:tblGrid>
      <w:tr>
        <w:trPr>
          <w:tblHeader/>
        </w:trPr>
        <w:tc>
          <w:tcPr>
            <w:tcW w:type="dxa" w:w="3600"/>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الهدف</w:t>
            </w:r>
          </w:p>
        </w:tc>
        <w:tc>
          <w:tcPr>
            <w:tcW w:type="dxa" w:w="3400"/>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مؤشر القياس</w:t>
            </w:r>
          </w:p>
        </w:tc>
        <w:tc>
          <w:tcPr>
            <w:tcW w:type="dxa" w:w="2026"/>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القيمة المستهدفة</w:t>
            </w:r>
          </w:p>
        </w:tc>
      </w:tr>
      <w:tr>
        <w:tc>
          <w:tcPr>
            <w:tcW w:type="dxa" w:w="36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تقليل حالات نفاد الأدوية</w:t>
            </w:r>
          </w:p>
        </w:tc>
        <w:tc>
          <w:tcPr>
            <w:tcW w:type="dxa" w:w="34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عدد حالات النفاد شهريًا</w:t>
            </w:r>
          </w:p>
        </w:tc>
        <w:tc>
          <w:tcPr>
            <w:tcW w:type="dxa" w:w="20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1F7C6F"/>
                <w:sz w:val="21"/>
                <w:szCs w:val="21"/>
                <w:rtl/>
              </w:rPr>
              <w:t xml:space="preserve">انخفاض ≥ 70%</w:t>
            </w:r>
          </w:p>
        </w:tc>
      </w:tr>
      <w:tr>
        <w:tc>
          <w:tcPr>
            <w:tcW w:type="dxa" w:w="36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التنبؤ المبكر بالنقص</w:t>
            </w:r>
          </w:p>
        </w:tc>
        <w:tc>
          <w:tcPr>
            <w:tcW w:type="dxa" w:w="34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نسبة النواقص المُكتشَفة قبل حدوثها</w:t>
            </w:r>
          </w:p>
        </w:tc>
        <w:tc>
          <w:tcPr>
            <w:tcW w:type="dxa" w:w="2026"/>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1F7C6F"/>
                <w:sz w:val="21"/>
                <w:szCs w:val="21"/>
                <w:rtl/>
              </w:rPr>
              <w:t xml:space="preserve">≥ 90%</w:t>
            </w:r>
          </w:p>
        </w:tc>
      </w:tr>
      <w:tr>
        <w:tc>
          <w:tcPr>
            <w:tcW w:type="dxa" w:w="36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ترشيد الاستهلاك وتقنين الكميات</w:t>
            </w:r>
          </w:p>
        </w:tc>
        <w:tc>
          <w:tcPr>
            <w:tcW w:type="dxa" w:w="34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نسبة الهدر وانتهاء الصلاحية</w:t>
            </w:r>
          </w:p>
        </w:tc>
        <w:tc>
          <w:tcPr>
            <w:tcW w:type="dxa" w:w="20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1F7C6F"/>
                <w:sz w:val="21"/>
                <w:szCs w:val="21"/>
                <w:rtl/>
              </w:rPr>
              <w:t xml:space="preserve">انخفاض ملموس</w:t>
            </w:r>
          </w:p>
        </w:tc>
      </w:tr>
      <w:tr>
        <w:tc>
          <w:tcPr>
            <w:tcW w:type="dxa" w:w="36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سرعة صرف الدواء</w:t>
            </w:r>
          </w:p>
        </w:tc>
        <w:tc>
          <w:tcPr>
            <w:tcW w:type="dxa" w:w="34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متوسط زمن انتظار الصرف</w:t>
            </w:r>
          </w:p>
        </w:tc>
        <w:tc>
          <w:tcPr>
            <w:tcW w:type="dxa" w:w="2026"/>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1F7C6F"/>
                <w:sz w:val="21"/>
                <w:szCs w:val="21"/>
                <w:rtl/>
              </w:rPr>
              <w:t xml:space="preserve">تقليل الزمن</w:t>
            </w:r>
          </w:p>
        </w:tc>
      </w:tr>
      <w:tr>
        <w:tc>
          <w:tcPr>
            <w:tcW w:type="dxa" w:w="36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الجاهزية للطوارئ الجوية</w:t>
            </w:r>
          </w:p>
        </w:tc>
        <w:tc>
          <w:tcPr>
            <w:tcW w:type="dxa" w:w="34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الطلبات المُطلقة استباقيًا قبل الظرف الجوي</w:t>
            </w:r>
          </w:p>
        </w:tc>
        <w:tc>
          <w:tcPr>
            <w:tcW w:type="dxa" w:w="20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1F7C6F"/>
                <w:sz w:val="21"/>
                <w:szCs w:val="21"/>
                <w:rtl/>
              </w:rPr>
              <w:t xml:space="preserve">مرتفعة</w:t>
            </w:r>
          </w:p>
        </w:tc>
      </w:tr>
    </w:tbl>
    <w:p>
      <w:pPr>
        <w:pBdr>
          <w:bottom w:val="single" w:color="2EA795" w:sz="12" w:space="6"/>
        </w:pBdr>
        <w:bidi/>
        <w:spacing w:after="140" w:before="320"/>
        <w:jc w:val="right"/>
      </w:pPr>
      <w:r>
        <w:rPr>
          <w:rFonts w:ascii="Arial" w:cs="Arial" w:eastAsia="Arial" w:hAnsi="Arial"/>
          <w:b/>
          <w:bCs/>
          <w:i w:val="false"/>
          <w:iCs w:val="false"/>
          <w:color w:val="2A3453"/>
          <w:sz w:val="30"/>
          <w:szCs w:val="30"/>
          <w:rtl/>
        </w:rPr>
        <w:t xml:space="preserve">المستخدمون وأدوارهم</w:t>
      </w:r>
      <w:r>
        <w:rPr>
          <w:rFonts w:ascii="Arial" w:cs="Arial" w:eastAsia="Arial" w:hAnsi="Arial"/>
          <w:b/>
          <w:bCs/>
          <w:color w:val="2EA795"/>
          <w:sz w:val="20"/>
          <w:szCs w:val="20"/>
          <w:rtl/>
        </w:rPr>
        <w:t xml:space="preserve">   03</w:t>
      </w:r>
    </w:p>
    <w:tbl>
      <w:tblPr>
        <w:bidiVisual/>
        <w:tblW w:type="dxa" w:w="9026"/>
        <w:tblBorders>
          <w:top w:val="single" w:color="ECEBF3" w:sz="2"/>
          <w:left w:val="single" w:color="ECEBF3" w:sz="2"/>
          <w:bottom w:val="single" w:color="ECEBF3" w:sz="2"/>
          <w:right w:val="single" w:color="ECEBF3" w:sz="2"/>
          <w:insideH w:val="single" w:color="ECEBF3" w:sz="2"/>
          <w:insideV w:val="single" w:color="ECEBF3" w:sz="2"/>
        </w:tblBorders>
      </w:tblPr>
      <w:tblGrid>
        <w:gridCol w:w="2400"/>
        <w:gridCol w:w="6626"/>
      </w:tblGrid>
      <w:tr>
        <w:trPr>
          <w:tblHeader/>
        </w:trPr>
        <w:tc>
          <w:tcPr>
            <w:tcW w:type="dxa" w:w="2400"/>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الدور</w:t>
            </w:r>
          </w:p>
        </w:tc>
        <w:tc>
          <w:tcPr>
            <w:tcW w:type="dxa" w:w="6626"/>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المسؤولية</w:t>
            </w:r>
          </w:p>
        </w:tc>
      </w:tr>
      <w:tr>
        <w:tc>
          <w:tcPr>
            <w:tcW w:type="dxa" w:w="24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الصيدلي</w:t>
            </w:r>
          </w:p>
        </w:tc>
        <w:tc>
          <w:tcPr>
            <w:tcW w:type="dxa" w:w="66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يتابع حالة المخزون، يعتمد اقتراحات البدائل، ويطلق طلبات التوريد ويراقب أولويات الأدوية الحرجة.</w:t>
            </w:r>
          </w:p>
        </w:tc>
      </w:tr>
      <w:tr>
        <w:tc>
          <w:tcPr>
            <w:tcW w:type="dxa" w:w="24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الطبيب والتمريض</w:t>
            </w:r>
          </w:p>
        </w:tc>
        <w:tc>
          <w:tcPr>
            <w:tcW w:type="dxa" w:w="6626"/>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يستعلمان عن توفّر الدواء والبدائل المتاحة عند وصف أو صرف الدواء للمريض.</w:t>
            </w:r>
          </w:p>
        </w:tc>
      </w:tr>
      <w:tr>
        <w:tc>
          <w:tcPr>
            <w:tcW w:type="dxa" w:w="24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مسؤول المخزون والتوريد</w:t>
            </w:r>
          </w:p>
        </w:tc>
        <w:tc>
          <w:tcPr>
            <w:tcW w:type="dxa" w:w="66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يدير طلبات التوريد، يستقبل الشحنات، ويحدّث الأرصدة ويتابع حالة الوصول.</w:t>
            </w:r>
          </w:p>
        </w:tc>
      </w:tr>
      <w:tr>
        <w:tc>
          <w:tcPr>
            <w:tcW w:type="dxa" w:w="24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المريض</w:t>
            </w:r>
          </w:p>
        </w:tc>
        <w:tc>
          <w:tcPr>
            <w:tcW w:type="dxa" w:w="6626"/>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المستفيد النهائي — ضمان توفّر دوائه وصرفه له في الوقت المناسب دون تأخير.</w:t>
            </w:r>
          </w:p>
        </w:tc>
      </w:tr>
    </w:tbl>
    <w:p>
      <w:pPr>
        <w:pBdr>
          <w:bottom w:val="single" w:color="2EA795" w:sz="12" w:space="6"/>
        </w:pBdr>
        <w:bidi/>
        <w:spacing w:after="140" w:before="320"/>
        <w:jc w:val="right"/>
      </w:pPr>
      <w:r>
        <w:rPr>
          <w:rFonts w:ascii="Arial" w:cs="Arial" w:eastAsia="Arial" w:hAnsi="Arial"/>
          <w:b/>
          <w:bCs/>
          <w:i w:val="false"/>
          <w:iCs w:val="false"/>
          <w:color w:val="2A3453"/>
          <w:sz w:val="30"/>
          <w:szCs w:val="30"/>
          <w:rtl/>
        </w:rPr>
        <w:t xml:space="preserve">المتطلبات الوظيفية</w:t>
      </w:r>
      <w:r>
        <w:rPr>
          <w:rFonts w:ascii="Arial" w:cs="Arial" w:eastAsia="Arial" w:hAnsi="Arial"/>
          <w:b/>
          <w:bCs/>
          <w:color w:val="2EA795"/>
          <w:sz w:val="20"/>
          <w:szCs w:val="20"/>
          <w:rtl/>
        </w:rPr>
        <w:t xml:space="preserve">   04</w:t>
      </w:r>
    </w:p>
    <w:p>
      <w:pPr>
        <w:bidi/>
        <w:spacing w:after="80" w:before="200" w:line="300"/>
        <w:jc w:val="right"/>
      </w:pPr>
      <w:r>
        <w:rPr>
          <w:rFonts w:ascii="Arial" w:cs="Arial" w:eastAsia="Arial" w:hAnsi="Arial"/>
          <w:b/>
          <w:bCs/>
          <w:i w:val="false"/>
          <w:iCs w:val="false"/>
          <w:color w:val="2A3453"/>
          <w:sz w:val="23"/>
          <w:szCs w:val="23"/>
          <w:rtl/>
        </w:rPr>
        <w:t xml:space="preserve">المتابعة اللحظية للمخزون</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عرض رصيد كل دواء آنيًا مع حالة ملوّنة (متوفر / منخفض / حرج).  </w:t>
      </w:r>
      <w:r>
        <w:rPr>
          <w:rFonts w:ascii="Arial" w:cs="Arial" w:eastAsia="Arial" w:hAnsi="Arial"/>
          <w:b/>
          <w:bCs/>
          <w:color w:val="1F7C6F"/>
          <w:sz w:val="20"/>
          <w:szCs w:val="20"/>
          <w:rtl/>
        </w:rPr>
        <w:t xml:space="preserve">(أساسي)</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تحديث الرصيد تلقائيًا مع كل عملية صرف عبر الباركود أو تكامل الصيدلية.  </w:t>
      </w:r>
      <w:r>
        <w:rPr>
          <w:rFonts w:ascii="Arial" w:cs="Arial" w:eastAsia="Arial" w:hAnsi="Arial"/>
          <w:b/>
          <w:bCs/>
          <w:color w:val="1F7C6F"/>
          <w:sz w:val="20"/>
          <w:szCs w:val="20"/>
          <w:rtl/>
        </w:rPr>
        <w:t xml:space="preserve">(أساسي)</w:t>
      </w:r>
    </w:p>
    <w:p>
      <w:pPr>
        <w:bidi/>
        <w:spacing w:after="80" w:before="200" w:line="300"/>
        <w:jc w:val="right"/>
      </w:pPr>
      <w:r>
        <w:rPr>
          <w:rFonts w:ascii="Arial" w:cs="Arial" w:eastAsia="Arial" w:hAnsi="Arial"/>
          <w:b/>
          <w:bCs/>
          <w:i w:val="false"/>
          <w:iCs w:val="false"/>
          <w:color w:val="2A3453"/>
          <w:sz w:val="23"/>
          <w:szCs w:val="23"/>
          <w:rtl/>
        </w:rPr>
        <w:t xml:space="preserve">التنبيهات والتنبؤ</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إطلاق تنبيه قبل نفاد الدواء بناءً على نقطة إعادة الطلب.  </w:t>
      </w:r>
      <w:r>
        <w:rPr>
          <w:rFonts w:ascii="Arial" w:cs="Arial" w:eastAsia="Arial" w:hAnsi="Arial"/>
          <w:b/>
          <w:bCs/>
          <w:color w:val="1F7C6F"/>
          <w:sz w:val="20"/>
          <w:szCs w:val="20"/>
          <w:rtl/>
        </w:rPr>
        <w:t xml:space="preserve">(أساسي)</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التنبؤ بتاريخ النفاد المتوقّع والكمية المطلوبة حسب معدل الاستهلاك.  </w:t>
      </w:r>
      <w:r>
        <w:rPr>
          <w:rFonts w:ascii="Arial" w:cs="Arial" w:eastAsia="Arial" w:hAnsi="Arial"/>
          <w:b/>
          <w:bCs/>
          <w:color w:val="9A6B12"/>
          <w:sz w:val="20"/>
          <w:szCs w:val="20"/>
          <w:rtl/>
        </w:rPr>
        <w:t xml:space="preserve">(مهم)</w:t>
      </w:r>
    </w:p>
    <w:p>
      <w:pPr>
        <w:bidi/>
        <w:spacing w:after="80" w:before="200" w:line="300"/>
        <w:jc w:val="right"/>
      </w:pPr>
      <w:r>
        <w:rPr>
          <w:rFonts w:ascii="Arial" w:cs="Arial" w:eastAsia="Arial" w:hAnsi="Arial"/>
          <w:b/>
          <w:bCs/>
          <w:i w:val="false"/>
          <w:iCs w:val="false"/>
          <w:color w:val="2A3453"/>
          <w:sz w:val="23"/>
          <w:szCs w:val="23"/>
          <w:rtl/>
        </w:rPr>
        <w:t xml:space="preserve">أولويات الأدوية</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تصنيف الأدوية حسب الأهمية (حيوي / أساسي / مرغوب) لتحديد أولوية التنبيه والتوريد.  </w:t>
      </w:r>
      <w:r>
        <w:rPr>
          <w:rFonts w:ascii="Arial" w:cs="Arial" w:eastAsia="Arial" w:hAnsi="Arial"/>
          <w:b/>
          <w:bCs/>
          <w:color w:val="9A6B12"/>
          <w:sz w:val="20"/>
          <w:szCs w:val="20"/>
          <w:rtl/>
        </w:rPr>
        <w:t xml:space="preserve">(مهم)</w:t>
      </w:r>
    </w:p>
    <w:p>
      <w:pPr>
        <w:bidi/>
        <w:spacing w:after="80" w:before="200" w:line="300"/>
        <w:jc w:val="right"/>
      </w:pPr>
      <w:r>
        <w:rPr>
          <w:rFonts w:ascii="Arial" w:cs="Arial" w:eastAsia="Arial" w:hAnsi="Arial"/>
          <w:b/>
          <w:bCs/>
          <w:i w:val="false"/>
          <w:iCs w:val="false"/>
          <w:color w:val="2A3453"/>
          <w:sz w:val="23"/>
          <w:szCs w:val="23"/>
          <w:rtl/>
        </w:rPr>
        <w:t xml:space="preserve">إدارة التوريد</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إنشاء طلبات التوريد ومتابعة حالتها وتاريخ وصولها المتوقّع.  </w:t>
      </w:r>
      <w:r>
        <w:rPr>
          <w:rFonts w:ascii="Arial" w:cs="Arial" w:eastAsia="Arial" w:hAnsi="Arial"/>
          <w:b/>
          <w:bCs/>
          <w:color w:val="1F7C6F"/>
          <w:sz w:val="20"/>
          <w:szCs w:val="20"/>
          <w:rtl/>
        </w:rPr>
        <w:t xml:space="preserve">(أساسي)</w:t>
      </w:r>
    </w:p>
    <w:p>
      <w:pPr>
        <w:bidi/>
        <w:spacing w:after="80" w:before="200" w:line="300"/>
        <w:jc w:val="right"/>
      </w:pPr>
      <w:r>
        <w:rPr>
          <w:rFonts w:ascii="Arial" w:cs="Arial" w:eastAsia="Arial" w:hAnsi="Arial"/>
          <w:b/>
          <w:bCs/>
          <w:i w:val="false"/>
          <w:iCs w:val="false"/>
          <w:color w:val="2A3453"/>
          <w:sz w:val="23"/>
          <w:szCs w:val="23"/>
          <w:rtl/>
        </w:rPr>
        <w:t xml:space="preserve">اقتراح البدائل</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اقتراح بدائل علاجية عند تعذّر توفّر الدواء، مرتّبة حسب المتاح فعليًا (بموافقة الصيدلي).  </w:t>
      </w:r>
      <w:r>
        <w:rPr>
          <w:rFonts w:ascii="Arial" w:cs="Arial" w:eastAsia="Arial" w:hAnsi="Arial"/>
          <w:b/>
          <w:bCs/>
          <w:color w:val="9A6B12"/>
          <w:sz w:val="20"/>
          <w:szCs w:val="20"/>
          <w:rtl/>
        </w:rPr>
        <w:t xml:space="preserve">(مهم)</w:t>
      </w:r>
    </w:p>
    <w:p>
      <w:pPr>
        <w:bidi/>
        <w:spacing w:after="80" w:before="200" w:line="300"/>
        <w:jc w:val="right"/>
      </w:pPr>
      <w:r>
        <w:rPr>
          <w:rFonts w:ascii="Arial" w:cs="Arial" w:eastAsia="Arial" w:hAnsi="Arial"/>
          <w:b/>
          <w:bCs/>
          <w:i w:val="false"/>
          <w:iCs w:val="false"/>
          <w:color w:val="2A3453"/>
          <w:sz w:val="23"/>
          <w:szCs w:val="23"/>
          <w:rtl/>
        </w:rPr>
        <w:t xml:space="preserve">التعامل مع الظروف الجوية</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رفع المخزون الآمن وإطلاق تنبيه استباقي عند توقّع ظرف جوي يعيق التوريد.  </w:t>
      </w:r>
      <w:r>
        <w:rPr>
          <w:rFonts w:ascii="Arial" w:cs="Arial" w:eastAsia="Arial" w:hAnsi="Arial"/>
          <w:b/>
          <w:bCs/>
          <w:color w:val="5B6472"/>
          <w:sz w:val="20"/>
          <w:szCs w:val="20"/>
          <w:rtl/>
        </w:rPr>
        <w:t xml:space="preserve">(لاحق)</w:t>
      </w:r>
    </w:p>
    <w:p>
      <w:pPr>
        <w:bidi/>
        <w:spacing w:after="120" w:before="120" w:line="300"/>
        <w:jc w:val="right"/>
      </w:pPr>
      <w:r>
        <w:rPr>
          <w:rFonts w:ascii="Arial" w:cs="Arial" w:eastAsia="Arial" w:hAnsi="Arial"/>
          <w:b w:val="false"/>
          <w:bCs w:val="false"/>
          <w:i/>
          <w:iCs/>
          <w:color w:val="6B7280"/>
          <w:sz w:val="19"/>
          <w:szCs w:val="19"/>
          <w:rtl/>
        </w:rPr>
        <w:t xml:space="preserve">الأولوية: أساسي (لا غنى عنه في الإطلاق الأول) · مهم (يُضاف بعد الأساسيات) · لاحق (ميزة تطويرية متقدّمة).</w:t>
      </w:r>
    </w:p>
    <w:p>
      <w:pPr>
        <w:pBdr>
          <w:bottom w:val="single" w:color="2EA795" w:sz="12" w:space="6"/>
        </w:pBdr>
        <w:bidi/>
        <w:spacing w:after="140" w:before="320"/>
        <w:jc w:val="right"/>
      </w:pPr>
      <w:r>
        <w:rPr>
          <w:rFonts w:ascii="Arial" w:cs="Arial" w:eastAsia="Arial" w:hAnsi="Arial"/>
          <w:b/>
          <w:bCs/>
          <w:i w:val="false"/>
          <w:iCs w:val="false"/>
          <w:color w:val="2A3453"/>
          <w:sz w:val="30"/>
          <w:szCs w:val="30"/>
          <w:rtl/>
        </w:rPr>
        <w:t xml:space="preserve">المتطلبات غير الوظيفية</w:t>
      </w:r>
      <w:r>
        <w:rPr>
          <w:rFonts w:ascii="Arial" w:cs="Arial" w:eastAsia="Arial" w:hAnsi="Arial"/>
          <w:b/>
          <w:bCs/>
          <w:color w:val="2EA795"/>
          <w:sz w:val="20"/>
          <w:szCs w:val="20"/>
          <w:rtl/>
        </w:rPr>
        <w:t xml:space="preserve">   05</w:t>
      </w:r>
    </w:p>
    <w:tbl>
      <w:tblPr>
        <w:bidiVisual/>
        <w:tblW w:type="dxa" w:w="9026"/>
        <w:tblBorders>
          <w:top w:val="single" w:color="ECEBF3" w:sz="2"/>
          <w:left w:val="single" w:color="ECEBF3" w:sz="2"/>
          <w:bottom w:val="single" w:color="ECEBF3" w:sz="2"/>
          <w:right w:val="single" w:color="ECEBF3" w:sz="2"/>
          <w:insideH w:val="single" w:color="ECEBF3" w:sz="2"/>
          <w:insideV w:val="single" w:color="ECEBF3" w:sz="2"/>
        </w:tblBorders>
      </w:tblPr>
      <w:tblGrid>
        <w:gridCol w:w="2600"/>
        <w:gridCol w:w="6426"/>
      </w:tblGrid>
      <w:tr>
        <w:trPr>
          <w:tblHeader/>
        </w:trPr>
        <w:tc>
          <w:tcPr>
            <w:tcW w:type="dxa" w:w="2600"/>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الجانب</w:t>
            </w:r>
          </w:p>
        </w:tc>
        <w:tc>
          <w:tcPr>
            <w:tcW w:type="dxa" w:w="6426"/>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المتطلب</w:t>
            </w:r>
          </w:p>
        </w:tc>
      </w:tr>
      <w:tr>
        <w:tc>
          <w:tcPr>
            <w:tcW w:type="dxa" w:w="26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الأداء</w:t>
            </w:r>
          </w:p>
        </w:tc>
        <w:tc>
          <w:tcPr>
            <w:tcW w:type="dxa" w:w="64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انعكاس عملية الصرف على الرصيد خلال ثوانٍ.</w:t>
            </w:r>
          </w:p>
        </w:tc>
      </w:tr>
      <w:tr>
        <w:tc>
          <w:tcPr>
            <w:tcW w:type="dxa" w:w="26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التوفّر</w:t>
            </w:r>
          </w:p>
        </w:tc>
        <w:tc>
          <w:tcPr>
            <w:tcW w:type="dxa" w:w="6426"/>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إتاحة النظام على مدار الساعة مع نسخ احتياطي دوري.</w:t>
            </w:r>
          </w:p>
        </w:tc>
      </w:tr>
      <w:tr>
        <w:tc>
          <w:tcPr>
            <w:tcW w:type="dxa" w:w="26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الأمان والامتثال</w:t>
            </w:r>
          </w:p>
        </w:tc>
        <w:tc>
          <w:tcPr>
            <w:tcW w:type="dxa" w:w="64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صلاحيات حسب الدور، سجل تدقيق، والالتزام بنظام حماية البيانات (PDPL) ومتطلبات SFDA.</w:t>
            </w:r>
          </w:p>
        </w:tc>
      </w:tr>
      <w:tr>
        <w:tc>
          <w:tcPr>
            <w:tcW w:type="dxa" w:w="26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سهولة الاستخدام</w:t>
            </w:r>
          </w:p>
        </w:tc>
        <w:tc>
          <w:tcPr>
            <w:tcW w:type="dxa" w:w="6426"/>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واجهة عربية RTL بسيطة وواضحة بالألوان، مناسبة للكادر الطبي.</w:t>
            </w:r>
          </w:p>
        </w:tc>
      </w:tr>
      <w:tr>
        <w:tc>
          <w:tcPr>
            <w:tcW w:type="dxa" w:w="26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قابلية التوسّع</w:t>
            </w:r>
          </w:p>
        </w:tc>
        <w:tc>
          <w:tcPr>
            <w:tcW w:type="dxa" w:w="64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دعم إضافة أقسام أو فروع أو مستودعات جديدة دون إعادة بناء.</w:t>
            </w:r>
          </w:p>
        </w:tc>
      </w:tr>
    </w:tbl>
    <w:p>
      <w:pPr>
        <w:pBdr>
          <w:bottom w:val="single" w:color="2EA795" w:sz="12" w:space="6"/>
        </w:pBdr>
        <w:bidi/>
        <w:spacing w:after="140" w:before="320"/>
        <w:jc w:val="right"/>
      </w:pPr>
      <w:r>
        <w:rPr>
          <w:rFonts w:ascii="Arial" w:cs="Arial" w:eastAsia="Arial" w:hAnsi="Arial"/>
          <w:b/>
          <w:bCs/>
          <w:i w:val="false"/>
          <w:iCs w:val="false"/>
          <w:color w:val="2A3453"/>
          <w:sz w:val="30"/>
          <w:szCs w:val="30"/>
          <w:rtl/>
        </w:rPr>
        <w:t xml:space="preserve">نطاق المشروع</w:t>
      </w:r>
      <w:r>
        <w:rPr>
          <w:rFonts w:ascii="Arial" w:cs="Arial" w:eastAsia="Arial" w:hAnsi="Arial"/>
          <w:b/>
          <w:bCs/>
          <w:color w:val="2EA795"/>
          <w:sz w:val="20"/>
          <w:szCs w:val="20"/>
          <w:rtl/>
        </w:rPr>
        <w:t xml:space="preserve">   06</w:t>
      </w:r>
    </w:p>
    <w:p>
      <w:pPr>
        <w:bidi/>
        <w:spacing w:after="80" w:before="200" w:line="300"/>
        <w:jc w:val="right"/>
      </w:pPr>
      <w:r>
        <w:rPr>
          <w:rFonts w:ascii="Arial" w:cs="Arial" w:eastAsia="Arial" w:hAnsi="Arial"/>
          <w:b/>
          <w:bCs/>
          <w:i w:val="false"/>
          <w:iCs w:val="false"/>
          <w:color w:val="2A3453"/>
          <w:sz w:val="23"/>
          <w:szCs w:val="23"/>
          <w:rtl/>
        </w:rPr>
        <w:t xml:space="preserve">داخل النطاق</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متابعة مخزون الأدوية لحظيًا</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التنبؤ بالنقص والتنبيهات المبكرة</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إدارة ومتابعة طلبات التوريد</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اقتراح البدائل وتحديد الأولويات</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تنبيه الظروف الجوية الاستباقي</w:t>
      </w:r>
    </w:p>
    <w:p>
      <w:pPr>
        <w:bidi/>
        <w:spacing w:after="80" w:before="200" w:line="300"/>
        <w:jc w:val="right"/>
      </w:pPr>
      <w:r>
        <w:rPr>
          <w:rFonts w:ascii="Arial" w:cs="Arial" w:eastAsia="Arial" w:hAnsi="Arial"/>
          <w:b/>
          <w:bCs/>
          <w:i w:val="false"/>
          <w:iCs w:val="false"/>
          <w:color w:val="2A3453"/>
          <w:sz w:val="23"/>
          <w:szCs w:val="23"/>
          <w:rtl/>
        </w:rPr>
        <w:t xml:space="preserve">خارج النطاق (المرحلة الأولى)</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إدارة الوصفات الطبية الكاملة</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الفوترة والجوانب المالية</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المخزون غير الدوائي (المستلزمات)</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الصرف التلقائي للبدائل دون موافقة</w:t>
      </w:r>
    </w:p>
    <w:p>
      <w:pPr>
        <w:pBdr>
          <w:bottom w:val="single" w:color="2EA795" w:sz="12" w:space="6"/>
        </w:pBdr>
        <w:bidi/>
        <w:spacing w:after="140" w:before="320"/>
        <w:jc w:val="right"/>
      </w:pPr>
      <w:r>
        <w:rPr>
          <w:rFonts w:ascii="Arial" w:cs="Arial" w:eastAsia="Arial" w:hAnsi="Arial"/>
          <w:b/>
          <w:bCs/>
          <w:i w:val="false"/>
          <w:iCs w:val="false"/>
          <w:color w:val="2A3453"/>
          <w:sz w:val="30"/>
          <w:szCs w:val="30"/>
          <w:rtl/>
        </w:rPr>
        <w:t xml:space="preserve">الافتراضات والمخاطر</w:t>
      </w:r>
      <w:r>
        <w:rPr>
          <w:rFonts w:ascii="Arial" w:cs="Arial" w:eastAsia="Arial" w:hAnsi="Arial"/>
          <w:b/>
          <w:bCs/>
          <w:color w:val="2EA795"/>
          <w:sz w:val="20"/>
          <w:szCs w:val="20"/>
          <w:rtl/>
        </w:rPr>
        <w:t xml:space="preserve">   07</w:t>
      </w:r>
    </w:p>
    <w:tbl>
      <w:tblPr>
        <w:bidiVisual/>
        <w:tblW w:type="dxa" w:w="9026"/>
        <w:tblBorders>
          <w:top w:val="single" w:color="ECEBF3" w:sz="2"/>
          <w:left w:val="single" w:color="ECEBF3" w:sz="2"/>
          <w:bottom w:val="single" w:color="ECEBF3" w:sz="2"/>
          <w:right w:val="single" w:color="ECEBF3" w:sz="2"/>
          <w:insideH w:val="single" w:color="ECEBF3" w:sz="2"/>
          <w:insideV w:val="single" w:color="ECEBF3" w:sz="2"/>
        </w:tblBorders>
      </w:tblPr>
      <w:tblGrid>
        <w:gridCol w:w="1500"/>
        <w:gridCol w:w="4926"/>
        <w:gridCol w:w="2600"/>
      </w:tblGrid>
      <w:tr>
        <w:trPr>
          <w:tblHeader/>
        </w:trPr>
        <w:tc>
          <w:tcPr>
            <w:tcW w:type="dxa" w:w="1500"/>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البند</w:t>
            </w:r>
          </w:p>
        </w:tc>
        <w:tc>
          <w:tcPr>
            <w:tcW w:type="dxa" w:w="4926"/>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الوصف</w:t>
            </w:r>
          </w:p>
        </w:tc>
        <w:tc>
          <w:tcPr>
            <w:tcW w:type="dxa" w:w="2600"/>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المعالجة</w:t>
            </w:r>
          </w:p>
        </w:tc>
      </w:tr>
      <w:tr>
        <w:tc>
          <w:tcPr>
            <w:tcW w:type="dxa" w:w="15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افتراض</w:t>
            </w:r>
          </w:p>
        </w:tc>
        <w:tc>
          <w:tcPr>
            <w:tcW w:type="dxa" w:w="49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توفّر بيانات استهلاك تاريخية وربط نقاط الصرف بالنظام.</w:t>
            </w:r>
          </w:p>
        </w:tc>
        <w:tc>
          <w:tcPr>
            <w:tcW w:type="dxa" w:w="26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1F7C6F"/>
                <w:sz w:val="21"/>
                <w:szCs w:val="21"/>
                <w:rtl/>
              </w:rPr>
              <w:t xml:space="preserve">تدقيق مبكر للبيانات</w:t>
            </w:r>
          </w:p>
        </w:tc>
      </w:tr>
      <w:tr>
        <w:tc>
          <w:tcPr>
            <w:tcW w:type="dxa" w:w="15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خطر</w:t>
            </w:r>
          </w:p>
        </w:tc>
        <w:tc>
          <w:tcPr>
            <w:tcW w:type="dxa" w:w="4926"/>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ضعف جودة البيانات يؤثّر على دقة التنبؤ في البداية.</w:t>
            </w:r>
          </w:p>
        </w:tc>
        <w:tc>
          <w:tcPr>
            <w:tcW w:type="dxa" w:w="26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1F7C6F"/>
                <w:sz w:val="21"/>
                <w:szCs w:val="21"/>
                <w:rtl/>
              </w:rPr>
              <w:t xml:space="preserve">بدء بنموذج إحصائي بسيط</w:t>
            </w:r>
          </w:p>
        </w:tc>
      </w:tr>
      <w:tr>
        <w:tc>
          <w:tcPr>
            <w:tcW w:type="dxa" w:w="15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خطر</w:t>
            </w:r>
          </w:p>
        </w:tc>
        <w:tc>
          <w:tcPr>
            <w:tcW w:type="dxa" w:w="49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مقاومة الكادر للتغيير في سير العمل.</w:t>
            </w:r>
          </w:p>
        </w:tc>
        <w:tc>
          <w:tcPr>
            <w:tcW w:type="dxa" w:w="26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1F7C6F"/>
                <w:sz w:val="21"/>
                <w:szCs w:val="21"/>
                <w:rtl/>
              </w:rPr>
              <w:t xml:space="preserve">تدريب وواجهة سهلة</w:t>
            </w:r>
          </w:p>
        </w:tc>
      </w:tr>
      <w:tr>
        <w:tc>
          <w:tcPr>
            <w:tcW w:type="dxa" w:w="15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خطر</w:t>
            </w:r>
          </w:p>
        </w:tc>
        <w:tc>
          <w:tcPr>
            <w:tcW w:type="dxa" w:w="4926"/>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اعتماد التنبيهات على مصدر طقس خارجي.</w:t>
            </w:r>
          </w:p>
        </w:tc>
        <w:tc>
          <w:tcPr>
            <w:tcW w:type="dxa" w:w="26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1F7C6F"/>
                <w:sz w:val="21"/>
                <w:szCs w:val="21"/>
                <w:rtl/>
              </w:rPr>
              <w:t xml:space="preserve">مصدر بديل + تنبيه يدوي</w:t>
            </w:r>
          </w:p>
        </w:tc>
      </w:tr>
    </w:tbl>
    <w:p>
      <w:pPr>
        <w:pBdr>
          <w:bottom w:val="single" w:color="2EA795" w:sz="12" w:space="6"/>
        </w:pBdr>
        <w:bidi/>
        <w:spacing w:after="140" w:before="320"/>
        <w:jc w:val="right"/>
      </w:pPr>
      <w:r>
        <w:rPr>
          <w:rFonts w:ascii="Arial" w:cs="Arial" w:eastAsia="Arial" w:hAnsi="Arial"/>
          <w:b/>
          <w:bCs/>
          <w:i w:val="false"/>
          <w:iCs w:val="false"/>
          <w:color w:val="2A3453"/>
          <w:sz w:val="30"/>
          <w:szCs w:val="30"/>
          <w:rtl/>
        </w:rPr>
        <w:t xml:space="preserve">المراحل الزمنية</w:t>
      </w:r>
      <w:r>
        <w:rPr>
          <w:rFonts w:ascii="Arial" w:cs="Arial" w:eastAsia="Arial" w:hAnsi="Arial"/>
          <w:b/>
          <w:bCs/>
          <w:color w:val="2EA795"/>
          <w:sz w:val="20"/>
          <w:szCs w:val="20"/>
          <w:rtl/>
        </w:rPr>
        <w:t xml:space="preserve">   08</w:t>
      </w:r>
    </w:p>
    <w:tbl>
      <w:tblPr>
        <w:bidiVisual/>
        <w:tblW w:type="dxa" w:w="9026"/>
        <w:tblBorders>
          <w:top w:val="single" w:color="ECEBF3" w:sz="2"/>
          <w:left w:val="single" w:color="ECEBF3" w:sz="2"/>
          <w:bottom w:val="single" w:color="ECEBF3" w:sz="2"/>
          <w:right w:val="single" w:color="ECEBF3" w:sz="2"/>
          <w:insideH w:val="single" w:color="ECEBF3" w:sz="2"/>
          <w:insideV w:val="single" w:color="ECEBF3" w:sz="2"/>
        </w:tblBorders>
      </w:tblPr>
      <w:tblGrid>
        <w:gridCol w:w="2200"/>
        <w:gridCol w:w="6826"/>
      </w:tblGrid>
      <w:tr>
        <w:trPr>
          <w:tblHeader/>
        </w:trPr>
        <w:tc>
          <w:tcPr>
            <w:tcW w:type="dxa" w:w="2200"/>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المرحلة</w:t>
            </w:r>
          </w:p>
        </w:tc>
        <w:tc>
          <w:tcPr>
            <w:tcW w:type="dxa" w:w="6826"/>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الوصف</w:t>
            </w:r>
          </w:p>
        </w:tc>
      </w:tr>
      <w:tr>
        <w:tc>
          <w:tcPr>
            <w:tcW w:type="dxa" w:w="22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1F7C6F"/>
                <w:sz w:val="21"/>
                <w:szCs w:val="21"/>
                <w:rtl/>
              </w:rPr>
              <w:t xml:space="preserve">المرحلة 1</w:t>
            </w:r>
          </w:p>
        </w:tc>
        <w:tc>
          <w:tcPr>
            <w:tcW w:type="dxa" w:w="68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مخزون رقمي + تنبيهات عتبة + لوحة تحكم أساسية ملوّنة.</w:t>
            </w:r>
          </w:p>
        </w:tc>
      </w:tr>
      <w:tr>
        <w:tc>
          <w:tcPr>
            <w:tcW w:type="dxa" w:w="22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1F7C6F"/>
                <w:sz w:val="21"/>
                <w:szCs w:val="21"/>
                <w:rtl/>
              </w:rPr>
              <w:t xml:space="preserve">المرحلة 2</w:t>
            </w:r>
          </w:p>
        </w:tc>
        <w:tc>
          <w:tcPr>
            <w:tcW w:type="dxa" w:w="6826"/>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تحليلات الاستهلاك + نقطة إعادة الطلب + تتبّع طلبات التوريد.</w:t>
            </w:r>
          </w:p>
        </w:tc>
      </w:tr>
      <w:tr>
        <w:tc>
          <w:tcPr>
            <w:tcW w:type="dxa" w:w="22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1F7C6F"/>
                <w:sz w:val="21"/>
                <w:szCs w:val="21"/>
                <w:rtl/>
              </w:rPr>
              <w:t xml:space="preserve">المرحلة 3</w:t>
            </w:r>
          </w:p>
        </w:tc>
        <w:tc>
          <w:tcPr>
            <w:tcW w:type="dxa" w:w="68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تنبؤ ذكي + تكامل الطقس + محرك البدائل + مصفوفة الأولويات.</w:t>
            </w:r>
          </w:p>
        </w:tc>
      </w:tr>
      <w:tr>
        <w:tc>
          <w:tcPr>
            <w:tcW w:type="dxa" w:w="22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1F7C6F"/>
                <w:sz w:val="21"/>
                <w:szCs w:val="21"/>
                <w:rtl/>
              </w:rPr>
              <w:t xml:space="preserve">المرحلة 4</w:t>
            </w:r>
          </w:p>
        </w:tc>
        <w:tc>
          <w:tcPr>
            <w:tcW w:type="dxa" w:w="6826"/>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التكامل مع أنظمة المستشفى وخزائن الصرف والجهات المعنية.</w:t>
            </w:r>
          </w:p>
        </w:tc>
      </w:tr>
    </w:tbl>
    <w:p>
      <w:pPr>
        <w:pBdr>
          <w:bottom w:val="single" w:color="2EA795" w:sz="12" w:space="6"/>
        </w:pBdr>
        <w:bidi/>
        <w:spacing w:after="140" w:before="320"/>
        <w:jc w:val="right"/>
      </w:pPr>
      <w:r>
        <w:rPr>
          <w:rFonts w:ascii="Arial" w:cs="Arial" w:eastAsia="Arial" w:hAnsi="Arial"/>
          <w:b/>
          <w:bCs/>
          <w:i w:val="false"/>
          <w:iCs w:val="false"/>
          <w:color w:val="2A3453"/>
          <w:sz w:val="30"/>
          <w:szCs w:val="30"/>
          <w:rtl/>
        </w:rPr>
        <w:t xml:space="preserve">نطاق العمل (Scope of Work)</w:t>
      </w:r>
      <w:r>
        <w:rPr>
          <w:rFonts w:ascii="Arial" w:cs="Arial" w:eastAsia="Arial" w:hAnsi="Arial"/>
          <w:b/>
          <w:bCs/>
          <w:color w:val="2EA795"/>
          <w:sz w:val="20"/>
          <w:szCs w:val="20"/>
          <w:rtl/>
        </w:rPr>
        <w:t xml:space="preserve">   09</w:t>
      </w:r>
    </w:p>
    <w:p>
      <w:pPr>
        <w:bidi/>
        <w:spacing w:after="120" w:before="40" w:line="300"/>
        <w:jc w:val="right"/>
      </w:pPr>
      <w:r>
        <w:rPr>
          <w:rFonts w:ascii="Arial" w:cs="Arial" w:eastAsia="Arial" w:hAnsi="Arial"/>
          <w:b w:val="false"/>
          <w:bCs w:val="false"/>
          <w:i w:val="false"/>
          <w:iCs w:val="false"/>
          <w:color w:val="3F4759"/>
          <w:sz w:val="22"/>
          <w:szCs w:val="22"/>
          <w:rtl/>
        </w:rPr>
        <w:t xml:space="preserve">يحدّد نطاق العمل المخرجات المُسلَّمة والمهام التنفيذية المتفق عليها ضمن المشروع، وحدود مسؤولية كل طرف.</w:t>
      </w:r>
    </w:p>
    <w:p>
      <w:pPr>
        <w:bidi/>
        <w:spacing w:after="80" w:before="200" w:line="300"/>
        <w:jc w:val="right"/>
      </w:pPr>
      <w:r>
        <w:rPr>
          <w:rFonts w:ascii="Arial" w:cs="Arial" w:eastAsia="Arial" w:hAnsi="Arial"/>
          <w:b/>
          <w:bCs/>
          <w:i w:val="false"/>
          <w:iCs w:val="false"/>
          <w:color w:val="2A3453"/>
          <w:sz w:val="23"/>
          <w:szCs w:val="23"/>
          <w:rtl/>
        </w:rPr>
        <w:t xml:space="preserve">المخرجات المُسلَّمة (Deliverables)</w:t>
      </w:r>
    </w:p>
    <w:tbl>
      <w:tblPr>
        <w:bidiVisual/>
        <w:tblW w:type="dxa" w:w="9026"/>
        <w:tblBorders>
          <w:top w:val="single" w:color="ECEBF3" w:sz="2"/>
          <w:left w:val="single" w:color="ECEBF3" w:sz="2"/>
          <w:bottom w:val="single" w:color="ECEBF3" w:sz="2"/>
          <w:right w:val="single" w:color="ECEBF3" w:sz="2"/>
          <w:insideH w:val="single" w:color="ECEBF3" w:sz="2"/>
          <w:insideV w:val="single" w:color="ECEBF3" w:sz="2"/>
        </w:tblBorders>
      </w:tblPr>
      <w:tblGrid>
        <w:gridCol w:w="2600"/>
        <w:gridCol w:w="6426"/>
      </w:tblGrid>
      <w:tr>
        <w:trPr>
          <w:tblHeader/>
        </w:trPr>
        <w:tc>
          <w:tcPr>
            <w:tcW w:type="dxa" w:w="2600"/>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المخرَج</w:t>
            </w:r>
          </w:p>
        </w:tc>
        <w:tc>
          <w:tcPr>
            <w:tcW w:type="dxa" w:w="6426"/>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الوصف</w:t>
            </w:r>
          </w:p>
        </w:tc>
      </w:tr>
      <w:tr>
        <w:tc>
          <w:tcPr>
            <w:tcW w:type="dxa" w:w="26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لوحة تحكم المخزون</w:t>
            </w:r>
          </w:p>
        </w:tc>
        <w:tc>
          <w:tcPr>
            <w:tcW w:type="dxa" w:w="64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واجهة عربية لعرض حالة المخزون بالألوان والتنبيهات والكميات المتوقّع نفادها.</w:t>
            </w:r>
          </w:p>
        </w:tc>
      </w:tr>
      <w:tr>
        <w:tc>
          <w:tcPr>
            <w:tcW w:type="dxa" w:w="26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محرّك التنبيه والتنبؤ</w:t>
            </w:r>
          </w:p>
        </w:tc>
        <w:tc>
          <w:tcPr>
            <w:tcW w:type="dxa" w:w="6426"/>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حساب نقاط إعادة الطلب وتوليد التنبيهات والتنبؤ بتاريخ النفاد المتوقّع.</w:t>
            </w:r>
          </w:p>
        </w:tc>
      </w:tr>
      <w:tr>
        <w:tc>
          <w:tcPr>
            <w:tcW w:type="dxa" w:w="26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وحدة إدارة التوريد</w:t>
            </w:r>
          </w:p>
        </w:tc>
        <w:tc>
          <w:tcPr>
            <w:tcW w:type="dxa" w:w="64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إنشاء طلبات التوريد ومتابعة حالتها وتاريخ وصولها.</w:t>
            </w:r>
          </w:p>
        </w:tc>
      </w:tr>
      <w:tr>
        <w:tc>
          <w:tcPr>
            <w:tcW w:type="dxa" w:w="26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محرّك البدائل</w:t>
            </w:r>
          </w:p>
        </w:tc>
        <w:tc>
          <w:tcPr>
            <w:tcW w:type="dxa" w:w="6426"/>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قاعدة بدائل علاجية واقتراحها عند تعذّر توفّر الدواء.</w:t>
            </w:r>
          </w:p>
        </w:tc>
      </w:tr>
      <w:tr>
        <w:tc>
          <w:tcPr>
            <w:tcW w:type="dxa" w:w="26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وحدة الظروف الجوية</w:t>
            </w:r>
          </w:p>
        </w:tc>
        <w:tc>
          <w:tcPr>
            <w:tcW w:type="dxa" w:w="64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ربط بيانات الطقس ورفع المخزون الآمن والتنبيه الاستباقي.</w:t>
            </w:r>
          </w:p>
        </w:tc>
      </w:tr>
      <w:tr>
        <w:tc>
          <w:tcPr>
            <w:tcW w:type="dxa" w:w="26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التكاملات</w:t>
            </w:r>
          </w:p>
        </w:tc>
        <w:tc>
          <w:tcPr>
            <w:tcW w:type="dxa" w:w="6426"/>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ربط نقاط الصرف/الباركود وأنظمة المستشفى والصيدلية.</w:t>
            </w:r>
          </w:p>
        </w:tc>
      </w:tr>
      <w:tr>
        <w:tc>
          <w:tcPr>
            <w:tcW w:type="dxa" w:w="26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الوثائق والتدريب</w:t>
            </w:r>
          </w:p>
        </w:tc>
        <w:tc>
          <w:tcPr>
            <w:tcW w:type="dxa" w:w="64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دليل استخدام وتدريب الكادر الطبي على تشغيل النظام.</w:t>
            </w:r>
          </w:p>
        </w:tc>
      </w:tr>
    </w:tbl>
    <w:p>
      <w:pPr>
        <w:bidi/>
        <w:spacing w:after="80" w:before="200" w:line="300"/>
        <w:jc w:val="right"/>
      </w:pPr>
      <w:r>
        <w:rPr>
          <w:rFonts w:ascii="Arial" w:cs="Arial" w:eastAsia="Arial" w:hAnsi="Arial"/>
          <w:b/>
          <w:bCs/>
          <w:i w:val="false"/>
          <w:iCs w:val="false"/>
          <w:color w:val="2A3453"/>
          <w:sz w:val="23"/>
          <w:szCs w:val="23"/>
          <w:rtl/>
        </w:rPr>
        <w:t xml:space="preserve">حزم العمل والمهام</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تحليل المتطلبات وتصميم قاعدة البيانات ونموذج البيانات.</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بناء واجهة لوحة التحكم العربية (RTL).</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تطوير محرّكات التنبيه والتنبؤ والبدائل والأولويات.</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تنفيذ التكاملات وربط مصادر البيانات.</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الاختبار والتشغيل التجريبي ومعالجة الملاحظات.</w:t>
      </w:r>
    </w:p>
    <w:p>
      <w:pPr>
        <w:pStyle w:val="ListParagraph"/>
        <w:numPr>
          <w:ilvl w:val="0"/>
          <w:numId w:val="2"/>
        </w:numPr>
        <w:bidi/>
        <w:spacing w:after="20" w:before="20" w:line="290"/>
        <w:jc w:val="right"/>
      </w:pPr>
      <w:r>
        <w:rPr>
          <w:rFonts w:ascii="Arial" w:cs="Arial" w:eastAsia="Arial" w:hAnsi="Arial"/>
          <w:b w:val="false"/>
          <w:bCs w:val="false"/>
          <w:i w:val="false"/>
          <w:iCs w:val="false"/>
          <w:color w:val="3F4759"/>
          <w:sz w:val="22"/>
          <w:szCs w:val="22"/>
          <w:rtl/>
        </w:rPr>
        <w:t xml:space="preserve">التدريب والتسليم والدعم الأولي.</w:t>
      </w:r>
    </w:p>
    <w:p>
      <w:pPr>
        <w:bidi/>
        <w:spacing w:after="80" w:before="200" w:line="300"/>
        <w:jc w:val="right"/>
      </w:pPr>
      <w:r>
        <w:rPr>
          <w:rFonts w:ascii="Arial" w:cs="Arial" w:eastAsia="Arial" w:hAnsi="Arial"/>
          <w:b/>
          <w:bCs/>
          <w:i w:val="false"/>
          <w:iCs w:val="false"/>
          <w:color w:val="2A3453"/>
          <w:sz w:val="23"/>
          <w:szCs w:val="23"/>
          <w:rtl/>
        </w:rPr>
        <w:t xml:space="preserve">المسؤوليات</w:t>
      </w:r>
    </w:p>
    <w:tbl>
      <w:tblPr>
        <w:bidiVisual/>
        <w:tblW w:type="dxa" w:w="9026"/>
        <w:tblBorders>
          <w:top w:val="single" w:color="ECEBF3" w:sz="2"/>
          <w:left w:val="single" w:color="ECEBF3" w:sz="2"/>
          <w:bottom w:val="single" w:color="ECEBF3" w:sz="2"/>
          <w:right w:val="single" w:color="ECEBF3" w:sz="2"/>
          <w:insideH w:val="single" w:color="ECEBF3" w:sz="2"/>
          <w:insideV w:val="single" w:color="ECEBF3" w:sz="2"/>
        </w:tblBorders>
      </w:tblPr>
      <w:tblGrid>
        <w:gridCol w:w="2600"/>
        <w:gridCol w:w="6426"/>
      </w:tblGrid>
      <w:tr>
        <w:trPr>
          <w:tblHeader/>
        </w:trPr>
        <w:tc>
          <w:tcPr>
            <w:tcW w:type="dxa" w:w="2600"/>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الطرف</w:t>
            </w:r>
          </w:p>
        </w:tc>
        <w:tc>
          <w:tcPr>
            <w:tcW w:type="dxa" w:w="6426"/>
            <w:shd w:fill="2A3453"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FFFFFF"/>
                <w:sz w:val="21"/>
                <w:szCs w:val="21"/>
                <w:rtl/>
              </w:rPr>
              <w:t xml:space="preserve">المسؤولية</w:t>
            </w:r>
          </w:p>
        </w:tc>
      </w:tr>
      <w:tr>
        <w:tc>
          <w:tcPr>
            <w:tcW w:type="dxa" w:w="26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فريق التطوير</w:t>
            </w:r>
          </w:p>
        </w:tc>
        <w:tc>
          <w:tcPr>
            <w:tcW w:type="dxa" w:w="64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البناء والتكامل والاختبار والتسليم.</w:t>
            </w:r>
          </w:p>
        </w:tc>
      </w:tr>
      <w:tr>
        <w:tc>
          <w:tcPr>
            <w:tcW w:type="dxa" w:w="26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الصيدلية والمخزون</w:t>
            </w:r>
          </w:p>
        </w:tc>
        <w:tc>
          <w:tcPr>
            <w:tcW w:type="dxa" w:w="6426"/>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توفير البيانات وقوائم الأدوية والبدائل والاعتماد.</w:t>
            </w:r>
          </w:p>
        </w:tc>
      </w:tr>
      <w:tr>
        <w:tc>
          <w:tcPr>
            <w:tcW w:type="dxa" w:w="2600"/>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إدارة تقنية المعلومات</w:t>
            </w:r>
          </w:p>
        </w:tc>
        <w:tc>
          <w:tcPr>
            <w:tcW w:type="dxa" w:w="6426"/>
            <w:shd w:fill="FFFFFF"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إتاحة الوصول للأنظمة والصلاحيات والبنية التحتية.</w:t>
            </w:r>
          </w:p>
        </w:tc>
      </w:tr>
      <w:tr>
        <w:tc>
          <w:tcPr>
            <w:tcW w:type="dxa" w:w="2600"/>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bCs/>
                <w:i w:val="false"/>
                <w:iCs w:val="false"/>
                <w:color w:val="2A3453"/>
                <w:sz w:val="21"/>
                <w:szCs w:val="21"/>
                <w:rtl/>
              </w:rPr>
              <w:t xml:space="preserve">الجهة المستفيدة</w:t>
            </w:r>
          </w:p>
        </w:tc>
        <w:tc>
          <w:tcPr>
            <w:tcW w:type="dxa" w:w="6426"/>
            <w:shd w:fill="FAFAFD" w:color="auto" w:val="clear"/>
            <w:tcMar>
              <w:top w:type="dxa" w:w="60"/>
              <w:left w:type="dxa" w:w="120"/>
              <w:bottom w:type="dxa" w:w="60"/>
              <w:right w:type="dxa" w:w="120"/>
            </w:tcMar>
          </w:tcPr>
          <w:p>
            <w:pPr>
              <w:bidi/>
              <w:spacing w:after="20" w:before="20" w:line="280"/>
              <w:jc w:val="right"/>
            </w:pPr>
            <w:r>
              <w:rPr>
                <w:rFonts w:ascii="Arial" w:cs="Arial" w:eastAsia="Arial" w:hAnsi="Arial"/>
                <w:b w:val="false"/>
                <w:bCs w:val="false"/>
                <w:i w:val="false"/>
                <w:iCs w:val="false"/>
                <w:color w:val="3F4759"/>
                <w:sz w:val="21"/>
                <w:szCs w:val="21"/>
                <w:rtl/>
              </w:rPr>
              <w:t xml:space="preserve">مراجعة المخرجات واعتماد التسليم في كل مرحلة.</w:t>
            </w:r>
          </w:p>
        </w:tc>
      </w:tr>
    </w:tbl>
    <w:p>
      <w:pPr>
        <w:pBdr>
          <w:top w:val="single" w:color="ECEBF3" w:sz="6" w:space="8"/>
        </w:pBdr>
        <w:bidi/>
        <w:spacing w:before="400"/>
        <w:jc w:val="center"/>
      </w:pPr>
      <w:r>
        <w:rPr>
          <w:rFonts w:ascii="Arial" w:cs="Arial" w:eastAsia="Arial" w:hAnsi="Arial"/>
          <w:b w:val="false"/>
          <w:bCs w:val="false"/>
          <w:i w:val="false"/>
          <w:iCs w:val="false"/>
          <w:color w:val="6B7280"/>
          <w:sz w:val="18"/>
          <w:szCs w:val="18"/>
          <w:rtl/>
        </w:rPr>
        <w:t xml:space="preserve">وثيقة متطلبات المنتج (PRD) — نظام ذكي لمتابعة مخزون الأدوية والتنبؤ بالنقص</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20"/>
      </w:pPr>
      <w:rPr>
        <w:color w:val="2EA79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F47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2026-09-08T08:31:14.915Z</dcterms:created>
  <dcterms:modified xsi:type="dcterms:W3CDTF">2026-09-08T08:31:14.927Z</dcterms:modified>
</cp:coreProperties>
</file>

<file path=docProps/custom.xml><?xml version="1.0" encoding="utf-8"?>
<Properties xmlns="http://schemas.openxmlformats.org/officeDocument/2006/custom-properties" xmlns:vt="http://schemas.openxmlformats.org/officeDocument/2006/docPropsVTypes"/>
</file>