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64"/>
      </w:pPr>
      <w:r>
        <w:rPr>
          <w:rFonts w:ascii="Montserrat" w:cs="Montserrat" w:eastAsia="Montserrat" w:hAnsi="Montserrat"/>
          <w:b/>
          <w:bCs/>
          <w:color w:val="607a80"/>
          <w:spacing w:val="30"/>
          <w:sz w:val="16"/>
          <w:szCs w:val="16"/>
        </w:rPr>
        <w:t xml:space="preserve">CREATIVE CFO   .   TURNKEY INSTRUMENTS SA (PTY) LTD   .   AUGUST 2026</w:t>
      </w:r>
    </w:p>
    <w:p>
      <w:pPr>
        <w:spacing w:after="40" w:before="0" w:line="640"/>
      </w:pPr>
      <w:r>
        <w:rPr>
          <w:rFonts w:ascii="Montserrat" w:cs="Montserrat" w:eastAsia="Montserrat" w:hAnsi="Montserrat"/>
          <w:b/>
          <w:bCs/>
          <w:color w:val="2d3741"/>
          <w:sz w:val="52"/>
          <w:szCs w:val="52"/>
        </w:rPr>
        <w:t xml:space="preserve">Cin7 Fit Check</w:t>
      </w:r>
    </w:p>
    <w:p>
      <w:pPr>
        <w:spacing w:after="160" w:before="0" w:line="640"/>
      </w:pPr>
      <w:r>
        <w:rPr>
          <w:rFonts w:ascii="Montserrat" w:cs="Montserrat" w:eastAsia="Montserrat" w:hAnsi="Montserrat"/>
          <w:b/>
          <w:bCs/>
          <w:color w:val="dd7353"/>
          <w:sz w:val="52"/>
          <w:szCs w:val="52"/>
        </w:rPr>
        <w:t xml:space="preserve">Ten Questions Before We Build</w:t>
      </w:r>
    </w:p>
    <w:p>
      <w:pPr>
        <w:spacing w:after="120" w:before="0" w:line="264"/>
      </w:pPr>
      <w:r>
        <w:rPr>
          <w:rFonts w:ascii="Arial" w:cs="Arial" w:eastAsia="Arial" w:hAnsi="Arial"/>
          <w:color w:val="607a80"/>
          <w:sz w:val="20"/>
          <w:szCs w:val="20"/>
        </w:rPr>
        <w:t xml:space="preserve">Please scan the pre-populated answers below, correct anything that is off, and fill in the gaps. Rough numbers and plain language are perfect. If anything needs a call to talk through, we can do 30 minutes on the questions and take it from there.</w:t>
      </w:r>
    </w:p>
    <w:p>
      <w:pPr>
        <w:spacing w:after="240" w:before="0" w:line="264"/>
      </w:pPr>
      <w:r>
        <w:rPr>
          <w:rFonts w:ascii="Arial" w:cs="Arial" w:eastAsia="Arial" w:hAnsi="Arial"/>
          <w:color w:val="97aaaa"/>
          <w:sz w:val="17"/>
          <w:szCs w:val="17"/>
        </w:rPr>
        <w:t xml:space="preserve">Prepared by Aidan Bouah   .   Creative CFO (Pty) Ltd   .   Confidential</w:t>
      </w:r>
    </w:p>
    <w:tbl>
      <w:tblPr>
        <w:tblW w:type="dxa" w:w="9640"/>
        <w:tblBorders>
          <w:top w:val="none" w:color="FFFFFF" w:sz="0"/>
          <w:left w:val="none" w:color="FFFFFF" w:sz="0"/>
          <w:bottom w:val="none" w:color="FFFFFF" w:sz="0"/>
          <w:right w:val="none" w:color="FFFFFF" w:sz="0"/>
          <w:insideH w:val="single" w:color="auto" w:sz="4"/>
          <w:insideV w:val="single" w:color="auto" w:sz="4"/>
        </w:tblBorders>
      </w:tblPr>
      <w:tblGrid>
        <w:gridCol w:w="9640"/>
      </w:tblGrid>
      <w:tr>
        <w:tc>
          <w:tcPr>
            <w:tcW w:type="dxa" w:w="9640"/>
            <w:tcBorders>
              <w:top w:val="none" w:color="FFFFFF" w:sz="0"/>
              <w:left w:val="single" w:color="a4c594" w:sz="24"/>
              <w:bottom w:val="none" w:color="FFFFFF" w:sz="0"/>
              <w:right w:val="none" w:color="FFFFFF" w:sz="0"/>
            </w:tcBorders>
            <w:shd w:fill="f4f7f2" w:val="clear"/>
            <w:tcMar>
              <w:top w:type="dxa" w:w="160"/>
              <w:left w:type="dxa" w:w="240"/>
              <w:bottom w:type="dxa" w:w="160"/>
              <w:right w:type="dxa" w:w="240"/>
            </w:tcMar>
          </w:tcPr>
          <w:p>
            <w:pPr>
              <w:spacing w:after="80" w:before="0" w:line="264"/>
            </w:pPr>
            <w:r>
              <w:rPr>
                <w:rFonts w:ascii="Montserrat" w:cs="Montserrat" w:eastAsia="Montserrat" w:hAnsi="Montserrat"/>
                <w:b/>
                <w:bCs/>
                <w:color w:val="607a80"/>
                <w:spacing w:val="30"/>
                <w:sz w:val="15"/>
                <w:szCs w:val="15"/>
              </w:rPr>
              <w:t xml:space="preserve">WHY WE ARE ASKING</w:t>
            </w:r>
          </w:p>
          <w:p>
            <w:pPr>
              <w:spacing w:after="0" w:before="0" w:line="264"/>
            </w:pPr>
            <w:r>
              <w:rPr>
                <w:rFonts w:ascii="Arial" w:cs="Arial" w:eastAsia="Arial" w:hAnsi="Arial"/>
                <w:color w:val="2d3741"/>
                <w:sz w:val="20"/>
                <w:szCs w:val="20"/>
              </w:rPr>
              <w:t xml:space="preserve">Cin7 Core carries a real monthly subscription plus its own setup and training effort. It earns that fee in businesses moving serious stock volume. From our calls, Turnkey holds a focused stock list in a single warehouse, stock stays at head office for repairs and calibrations, and most revenue is recurring on-site service billing. Before we configure anything, we want to test Cin7 against how you actually operate. If a simpler build on Xero, with your CRM handling the sales side, covers your needs, we will recommend that and you keep the fee.</w:t>
            </w:r>
          </w:p>
        </w:tc>
      </w:tr>
    </w:tbl>
    <w:p>
      <w:pPr>
        <w:spacing w:after="180"/>
      </w:pPr>
    </w:p>
    <w:p>
      <w:pPr>
        <w:spacing w:after="80" w:before="0" w:line="264"/>
      </w:pPr>
      <w:r>
        <w:rPr>
          <w:rFonts w:ascii="Montserrat" w:cs="Montserrat" w:eastAsia="Montserrat" w:hAnsi="Montserrat"/>
          <w:b/>
          <w:bCs/>
          <w:color w:val="607a80"/>
          <w:spacing w:val="30"/>
          <w:sz w:val="15"/>
          <w:szCs w:val="15"/>
        </w:rPr>
        <w:t xml:space="preserve">TURNKEY CONTEXT, AS WE UNDERSTAND IT</w:t>
      </w:r>
    </w:p>
    <w:p>
      <w:pPr>
        <w:spacing w:after="240" w:before="0" w:line="264"/>
      </w:pPr>
      <w:r>
        <w:rPr>
          <w:rFonts w:ascii="Arial" w:cs="Arial" w:eastAsia="Arial" w:hAnsi="Arial"/>
          <w:color w:val="607a80"/>
          <w:sz w:val="20"/>
          <w:szCs w:val="20"/>
        </w:rPr>
        <w:t xml:space="preserve">Independent African distributor and agent for UK-based Turnkey Instruments. Sells brake testers, dust monitors and related instrumentation to mines across Africa, and services around 100 mines a month through on-site contracts and around 30 to 50 field technicians. All physical stock lives in one warehouse at head office and is used for office-based repairs, calibrations and sales. The SAP item master holds around 629 lines, of which roughly 50 to 80 are physical stock; the rest are per-mine service pricing lines. Migrating from SAP Business One to Xero, Dext and SimplePay, with Cin7 Core scoped on top. This sheet decides that last piece.</w:t>
      </w:r>
    </w:p>
    <w:tbl>
      <w:tblPr>
        <w:tblW w:type="dxa" w:w="9640"/>
        <w:tblBorders>
          <w:top w:val="none" w:color="FFFFFF" w:sz="0"/>
          <w:left w:val="none" w:color="FFFFFF" w:sz="0"/>
          <w:bottom w:val="none" w:color="FFFFFF" w:sz="0"/>
          <w:right w:val="none" w:color="FFFFFF" w:sz="0"/>
          <w:insideH w:val="none" w:color="FFFFFF" w:sz="0"/>
          <w:insideV w:val="none" w:color="FFFFFF" w:sz="0"/>
        </w:tblBorders>
      </w:tblPr>
      <w:tblGrid>
        <w:gridCol w:w="700"/>
        <w:gridCol w:w="8940"/>
      </w:tblGrid>
      <w:tr>
        <w:tc>
          <w:tcPr>
            <w:tcW w:type="dxa" w:w="700"/>
            <w:shd w:fill="dd7353" w:val="clear"/>
            <w:tcMar>
              <w:top w:type="dxa" w:w="120"/>
              <w:bottom w:type="dxa" w:w="120"/>
            </w:tcMar>
            <w:vAlign w:val="center"/>
          </w:tcPr>
          <w:p>
            <w:pPr>
              <w:jc w:val="center"/>
            </w:pPr>
            <w:r>
              <w:rPr>
                <w:rFonts w:ascii="Montserrat" w:cs="Montserrat" w:eastAsia="Montserrat" w:hAnsi="Montserrat"/>
                <w:b/>
                <w:bCs/>
                <w:color w:val="FFFFFF"/>
                <w:sz w:val="40"/>
                <w:szCs w:val="40"/>
              </w:rPr>
              <w:t xml:space="preserve">C</w:t>
            </w:r>
          </w:p>
        </w:tc>
        <w:tc>
          <w:tcPr>
            <w:tcW w:type="dxa" w:w="8940"/>
            <w:tcMar>
              <w:top w:type="dxa" w:w="80"/>
              <w:left w:type="dxa" w:w="200"/>
              <w:bottom w:type="dxa" w:w="80"/>
            </w:tcMar>
            <w:vAlign w:val="center"/>
          </w:tcPr>
          <w:p>
            <w:pPr>
              <w:spacing w:after="40" w:before="0" w:line="264"/>
            </w:pPr>
            <w:r>
              <w:rPr>
                <w:rFonts w:ascii="Montserrat" w:cs="Montserrat" w:eastAsia="Montserrat" w:hAnsi="Montserrat"/>
                <w:b/>
                <w:bCs/>
                <w:color w:val="2d3741"/>
                <w:sz w:val="24"/>
                <w:szCs w:val="24"/>
              </w:rPr>
              <w:t xml:space="preserve">Claire Burgess</w:t>
            </w:r>
          </w:p>
          <w:p>
            <w:pPr>
              <w:spacing w:after="0" w:before="0" w:line="264"/>
            </w:pPr>
            <w:r>
              <w:rPr>
                <w:rFonts w:ascii="Arial" w:cs="Arial" w:eastAsia="Arial" w:hAnsi="Arial"/>
                <w:b/>
                <w:bCs/>
                <w:color w:val="607a80"/>
                <w:spacing w:val="30"/>
                <w:sz w:val="16"/>
                <w:szCs w:val="16"/>
              </w:rPr>
              <w:t xml:space="preserve">ACCOUNTS  .  STOCK, PURCHASING AND DAY-TO-DAY OPERATIONS</w:t>
            </w:r>
          </w:p>
        </w:tc>
      </w:tr>
    </w:tbl>
    <w:p>
      <w:pPr>
        <w:spacing w:after="160"/>
      </w:pPr>
    </w:p>
    <w:tbl>
      <w:tblPr>
        <w:tblW w:type="dxa" w:w="9640"/>
        <w:tblBorders>
          <w:top w:val="single" w:color="e0dfdd" w:sz="4"/>
          <w:left w:val="single" w:color="e0dfdd" w:sz="4"/>
          <w:bottom w:val="single" w:color="e0dfdd" w:sz="4"/>
          <w:right w:val="single" w:color="e0dfdd" w:sz="4"/>
          <w:insideH w:val="single" w:color="e0dfdd" w:sz="4"/>
          <w:insideV w:val="single" w:color="e0dfdd" w:sz="4"/>
        </w:tblBorders>
      </w:tblPr>
      <w:tblGrid>
        <w:gridCol w:w="700"/>
        <w:gridCol w:w="8940"/>
      </w:tblGrid>
      <w:tr>
        <w:trPr>
          <w:cantSplit/>
        </w:trPr>
        <w:tc>
          <w:tcPr>
            <w:tcW w:type="dxa" w:w="700"/>
            <w:tcBorders>
              <w:top w:val="single" w:color="e0dfdd" w:sz="4"/>
              <w:left w:val="single" w:color="e0dfdd" w:sz="4"/>
              <w:bottom w:val="single" w:color="e0dfdd" w:sz="4"/>
              <w:right w:val="single" w:color="e0dfdd" w:sz="4"/>
            </w:tcBorders>
            <w:shd w:fill="2d3741" w:val="clear"/>
            <w:vAlign w:val="center"/>
          </w:tcPr>
          <w:p>
            <w:pPr>
              <w:jc w:val="center"/>
            </w:pPr>
            <w:r>
              <w:rPr>
                <w:rFonts w:ascii="Montserrat" w:cs="Montserrat" w:eastAsia="Montserrat" w:hAnsi="Montserrat"/>
                <w:b/>
                <w:bCs/>
                <w:color w:val="FFFFFF"/>
                <w:sz w:val="26"/>
                <w:szCs w:val="26"/>
              </w:rPr>
              <w:t xml:space="preserve">1</w:t>
            </w:r>
          </w:p>
        </w:tc>
        <w:tc>
          <w:tcPr>
            <w:tcW w:type="dxa" w:w="8940"/>
            <w:tcBorders>
              <w:top w:val="single" w:color="e0dfdd" w:sz="4"/>
              <w:left w:val="single" w:color="e0dfdd" w:sz="4"/>
              <w:bottom w:val="single" w:color="e0dfdd" w:sz="4"/>
              <w:right w:val="single" w:color="e0dfdd" w:sz="4"/>
            </w:tcBorders>
            <w:tcMar>
              <w:top w:type="dxa" w:w="120"/>
              <w:left w:type="dxa" w:w="200"/>
              <w:bottom w:type="dxa" w:w="120"/>
              <w:right w:type="dxa" w:w="200"/>
            </w:tcMar>
            <w:vAlign w:val="center"/>
          </w:tcPr>
          <w:p>
            <w:pPr>
              <w:spacing w:after="0" w:before="0" w:line="264"/>
            </w:pPr>
            <w:r>
              <w:rPr>
                <w:rFonts w:ascii="Arial" w:cs="Arial" w:eastAsia="Arial" w:hAnsi="Arial"/>
                <w:b/>
                <w:bCs/>
                <w:color w:val="2d3741"/>
                <w:sz w:val="21"/>
                <w:szCs w:val="21"/>
              </w:rPr>
              <w:t xml:space="preserve">The physical stock list: how many of the ~629 SAP item lines are actual physical stock you buy, hold and sell, and do you expect that list to grow much over the next two years?</w:t>
            </w:r>
          </w:p>
        </w:tc>
      </w:tr>
      <w:tr>
        <w:trPr>
          <w:cantSplit/>
        </w:trPr>
        <w:tc>
          <w:tcPr>
            <w:tcW w:type="dxa" w:w="700"/>
            <w:tcBorders>
              <w:top w:val="single" w:color="e0dfdd" w:sz="4"/>
              <w:left w:val="single" w:color="e0dfdd" w:sz="4"/>
              <w:bottom w:val="single" w:color="e0dfdd" w:sz="4"/>
              <w:right w:val="single" w:color="e0dfdd" w:sz="4"/>
            </w:tcBorders>
            <w:shd w:fill="faeeea" w:val="clear"/>
          </w:tcPr>
          <w:p>
            <w:pPr>
              <w:jc w:val="center"/>
            </w:pPr>
            <w:r>
              <w:rPr>
                <w:rFonts w:ascii="Montserrat" w:cs="Montserrat" w:eastAsia="Montserrat" w:hAnsi="Montserrat"/>
                <w:b/>
                <w:bCs/>
                <w:color w:val="dd7353"/>
                <w:sz w:val="13"/>
                <w:szCs w:val="13"/>
              </w:rPr>
              <w:t xml:space="preserve">WHY</w:t>
            </w:r>
          </w:p>
        </w:tc>
        <w:tc>
          <w:tcPr>
            <w:tcW w:type="dxa" w:w="8940"/>
            <w:tcBorders>
              <w:top w:val="single" w:color="e0dfdd" w:sz="4"/>
              <w:left w:val="single" w:color="e0dfdd" w:sz="4"/>
              <w:bottom w:val="single" w:color="e0dfdd" w:sz="4"/>
              <w:right w:val="single" w:color="e0dfdd" w:sz="4"/>
            </w:tcBorders>
            <w:shd w:fill="faeeea" w:val="clear"/>
            <w:tcMar>
              <w:top w:type="dxa" w:w="100"/>
              <w:left w:type="dxa" w:w="200"/>
              <w:bottom w:type="dxa" w:w="100"/>
              <w:right w:type="dxa" w:w="200"/>
            </w:tcMar>
          </w:tcPr>
          <w:p>
            <w:pPr>
              <w:spacing w:after="0" w:before="0" w:line="264"/>
            </w:pPr>
            <w:r>
              <w:rPr>
                <w:rFonts w:ascii="Arial" w:cs="Arial" w:eastAsia="Arial" w:hAnsi="Arial"/>
                <w:color w:val="607a80"/>
                <w:sz w:val="19"/>
                <w:szCs w:val="19"/>
              </w:rPr>
              <w:t xml:space="preserve">Cin7 pricing and setup effort scale with the product list. 50 to 80 slow-moving lines is comfortably inside what Xero inventory can handle; a fast-growing list points to Cin7.</w:t>
            </w:r>
          </w:p>
        </w:tc>
      </w:tr>
      <w:tr>
        <w:trPr>
          <w:cantSplit/>
        </w:trPr>
        <w:tc>
          <w:tcPr>
            <w:tcW w:type="dxa" w:w="700"/>
            <w:tcBorders>
              <w:top w:val="single" w:color="e0dfdd" w:sz="4"/>
              <w:left w:val="single" w:color="e0dfdd" w:sz="4"/>
              <w:bottom w:val="single" w:color="e0dfdd" w:sz="4"/>
              <w:right w:val="single" w:color="e0dfdd" w:sz="4"/>
            </w:tcBorders>
            <w:shd w:fill="fbf7ec" w:val="clear"/>
          </w:tcPr>
          <w:p>
            <w:pPr>
              <w:jc w:val="center"/>
            </w:pPr>
            <w:r>
              <w:rPr>
                <w:rFonts w:ascii="Montserrat" w:cs="Montserrat" w:eastAsia="Montserrat" w:hAnsi="Montserrat"/>
                <w:b/>
                <w:bCs/>
                <w:color w:val="607a80"/>
                <w:sz w:val="13"/>
                <w:szCs w:val="13"/>
              </w:rPr>
              <w:t xml:space="preserve">A</w:t>
            </w:r>
          </w:p>
        </w:tc>
        <w:tc>
          <w:tcPr>
            <w:tcW w:type="dxa" w:w="8940"/>
            <w:tcBorders>
              <w:top w:val="single" w:color="e0dfdd" w:sz="4"/>
              <w:left w:val="single" w:color="e0dfdd" w:sz="4"/>
              <w:bottom w:val="single" w:color="e0dfdd" w:sz="4"/>
              <w:right w:val="single" w:color="e0dfdd" w:sz="4"/>
            </w:tcBorders>
            <w:shd w:fill="fbf7ec" w:val="clear"/>
            <w:tcMar>
              <w:top w:type="dxa" w:w="100"/>
              <w:left w:type="dxa" w:w="200"/>
              <w:bottom w:type="dxa" w:w="100"/>
              <w:right w:type="dxa" w:w="200"/>
            </w:tcMar>
          </w:tcPr>
          <w:p>
            <w:pPr>
              <w:spacing w:after="60" w:before="0" w:line="264"/>
            </w:pPr>
            <w:r>
              <w:rPr>
                <w:rFonts w:ascii="Montserrat" w:cs="Montserrat" w:eastAsia="Montserrat" w:hAnsi="Montserrat"/>
                <w:b/>
                <w:bCs/>
                <w:color w:val="607a80"/>
                <w:spacing w:val="20"/>
                <w:sz w:val="13"/>
                <w:szCs w:val="13"/>
              </w:rPr>
              <w:t xml:space="preserve">PRE-FILLED FROM OUR CALLS. PLEASE CORRECT ANYTHING THAT IS OFF:</w:t>
            </w:r>
          </w:p>
          <w:p>
            <w:pPr>
              <w:spacing w:after="120" w:before="0" w:line="264"/>
            </w:pPr>
            <w:r>
              <w:rPr>
                <w:rFonts w:ascii="Arial" w:cs="Arial" w:eastAsia="Arial" w:hAnsi="Arial"/>
                <w:color w:val="2d3741"/>
                <w:sz w:val="20"/>
                <w:szCs w:val="20"/>
              </w:rPr>
              <w:t xml:space="preserve">Around 50 to 80 physical lines (Simret units and spares, paper rolls, ink ribbons, batteries, dust monitors, TAM QR tags, some PPE like the navy bunny jackets). Customer-specific codes such as the Sibanye items are variants of existing products, not genuinely new stock. New SKUs are added ad hoc when new stock arrives, so the list grows slowly.</w:t>
            </w:r>
          </w:p>
          <w:p>
            <w:pPr>
              <w:spacing w:after="0" w:before="0" w:line="264"/>
            </w:pPr>
            <w:r>
              <w:rPr>
                <w:rFonts w:ascii="Arial" w:cs="Arial" w:eastAsia="Arial" w:hAnsi="Arial"/>
                <w:i/>
                <w:iCs/>
                <w:color w:val="97aaaa"/>
                <w:sz w:val="19"/>
                <w:szCs w:val="19"/>
              </w:rPr>
              <w:t xml:space="preserve">Your answer / corrections:</w:t>
            </w:r>
          </w:p>
          <w:p>
            <w:pPr>
              <w:spacing w:after="0" w:before="0" w:line="264"/>
            </w:pPr>
            <w:r>
              <w:rPr>
                <w:rFonts w:ascii="Arial" w:cs="Arial" w:eastAsia="Arial" w:hAnsi="Arial"/>
                <w:color w:val="2d3741"/>
                <w:sz w:val="20"/>
                <w:szCs w:val="20"/>
              </w:rPr>
              <w:t xml:space="preserve"> </w:t>
            </w:r>
          </w:p>
          <w:p>
            <w:pPr>
              <w:spacing w:after="0" w:before="0" w:line="264"/>
            </w:pPr>
            <w:r>
              <w:rPr>
                <w:rFonts w:ascii="Arial" w:cs="Arial" w:eastAsia="Arial" w:hAnsi="Arial"/>
                <w:color w:val="2d3741"/>
                <w:sz w:val="20"/>
                <w:szCs w:val="20"/>
              </w:rPr>
              <w:t xml:space="preserve"> </w:t>
            </w:r>
          </w:p>
          <w:p>
            <w:pPr>
              <w:spacing w:after="0" w:before="0" w:line="264"/>
            </w:pPr>
            <w:r>
              <w:rPr>
                <w:rFonts w:ascii="Arial" w:cs="Arial" w:eastAsia="Arial" w:hAnsi="Arial"/>
                <w:color w:val="2d3741"/>
                <w:sz w:val="20"/>
                <w:szCs w:val="20"/>
              </w:rPr>
              <w:t xml:space="preserve"> </w:t>
            </w:r>
          </w:p>
        </w:tc>
      </w:tr>
    </w:tbl>
    <w:p>
      <w:pPr>
        <w:spacing w:after="240"/>
      </w:pPr>
    </w:p>
    <w:tbl>
      <w:tblPr>
        <w:tblW w:type="dxa" w:w="9640"/>
        <w:tblBorders>
          <w:top w:val="single" w:color="e0dfdd" w:sz="4"/>
          <w:left w:val="single" w:color="e0dfdd" w:sz="4"/>
          <w:bottom w:val="single" w:color="e0dfdd" w:sz="4"/>
          <w:right w:val="single" w:color="e0dfdd" w:sz="4"/>
          <w:insideH w:val="single" w:color="e0dfdd" w:sz="4"/>
          <w:insideV w:val="single" w:color="e0dfdd" w:sz="4"/>
        </w:tblBorders>
      </w:tblPr>
      <w:tblGrid>
        <w:gridCol w:w="700"/>
        <w:gridCol w:w="8940"/>
      </w:tblGrid>
      <w:tr>
        <w:trPr>
          <w:cantSplit/>
        </w:trPr>
        <w:tc>
          <w:tcPr>
            <w:tcW w:type="dxa" w:w="700"/>
            <w:tcBorders>
              <w:top w:val="single" w:color="e0dfdd" w:sz="4"/>
              <w:left w:val="single" w:color="e0dfdd" w:sz="4"/>
              <w:bottom w:val="single" w:color="e0dfdd" w:sz="4"/>
              <w:right w:val="single" w:color="e0dfdd" w:sz="4"/>
            </w:tcBorders>
            <w:shd w:fill="2d3741" w:val="clear"/>
            <w:vAlign w:val="center"/>
          </w:tcPr>
          <w:p>
            <w:pPr>
              <w:jc w:val="center"/>
            </w:pPr>
            <w:r>
              <w:rPr>
                <w:rFonts w:ascii="Montserrat" w:cs="Montserrat" w:eastAsia="Montserrat" w:hAnsi="Montserrat"/>
                <w:b/>
                <w:bCs/>
                <w:color w:val="FFFFFF"/>
                <w:sz w:val="26"/>
                <w:szCs w:val="26"/>
              </w:rPr>
              <w:t xml:space="preserve">2</w:t>
            </w:r>
          </w:p>
        </w:tc>
        <w:tc>
          <w:tcPr>
            <w:tcW w:type="dxa" w:w="8940"/>
            <w:tcBorders>
              <w:top w:val="single" w:color="e0dfdd" w:sz="4"/>
              <w:left w:val="single" w:color="e0dfdd" w:sz="4"/>
              <w:bottom w:val="single" w:color="e0dfdd" w:sz="4"/>
              <w:right w:val="single" w:color="e0dfdd" w:sz="4"/>
            </w:tcBorders>
            <w:tcMar>
              <w:top w:type="dxa" w:w="120"/>
              <w:left w:type="dxa" w:w="200"/>
              <w:bottom w:type="dxa" w:w="120"/>
              <w:right w:type="dxa" w:w="200"/>
            </w:tcMar>
            <w:vAlign w:val="center"/>
          </w:tcPr>
          <w:p>
            <w:pPr>
              <w:spacing w:after="0" w:before="0" w:line="264"/>
            </w:pPr>
            <w:r>
              <w:rPr>
                <w:rFonts w:ascii="Arial" w:cs="Arial" w:eastAsia="Arial" w:hAnsi="Arial"/>
                <w:b/>
                <w:bCs/>
                <w:color w:val="2d3741"/>
                <w:sz w:val="21"/>
                <w:szCs w:val="21"/>
              </w:rPr>
              <w:t xml:space="preserve">In a typical month, roughly how many stock movements happen across everything: goods received, parts used in repairs, and items sold and shipped? And what is the approximate total value of stock on hand?</w:t>
            </w:r>
          </w:p>
        </w:tc>
      </w:tr>
      <w:tr>
        <w:trPr>
          <w:cantSplit/>
        </w:trPr>
        <w:tc>
          <w:tcPr>
            <w:tcW w:type="dxa" w:w="700"/>
            <w:tcBorders>
              <w:top w:val="single" w:color="e0dfdd" w:sz="4"/>
              <w:left w:val="single" w:color="e0dfdd" w:sz="4"/>
              <w:bottom w:val="single" w:color="e0dfdd" w:sz="4"/>
              <w:right w:val="single" w:color="e0dfdd" w:sz="4"/>
            </w:tcBorders>
            <w:shd w:fill="faeeea" w:val="clear"/>
          </w:tcPr>
          <w:p>
            <w:pPr>
              <w:jc w:val="center"/>
            </w:pPr>
            <w:r>
              <w:rPr>
                <w:rFonts w:ascii="Montserrat" w:cs="Montserrat" w:eastAsia="Montserrat" w:hAnsi="Montserrat"/>
                <w:b/>
                <w:bCs/>
                <w:color w:val="dd7353"/>
                <w:sz w:val="13"/>
                <w:szCs w:val="13"/>
              </w:rPr>
              <w:t xml:space="preserve">WHY</w:t>
            </w:r>
          </w:p>
        </w:tc>
        <w:tc>
          <w:tcPr>
            <w:tcW w:type="dxa" w:w="8940"/>
            <w:tcBorders>
              <w:top w:val="single" w:color="e0dfdd" w:sz="4"/>
              <w:left w:val="single" w:color="e0dfdd" w:sz="4"/>
              <w:bottom w:val="single" w:color="e0dfdd" w:sz="4"/>
              <w:right w:val="single" w:color="e0dfdd" w:sz="4"/>
            </w:tcBorders>
            <w:shd w:fill="faeeea" w:val="clear"/>
            <w:tcMar>
              <w:top w:type="dxa" w:w="100"/>
              <w:left w:type="dxa" w:w="200"/>
              <w:bottom w:type="dxa" w:w="100"/>
              <w:right w:type="dxa" w:w="200"/>
            </w:tcMar>
          </w:tcPr>
          <w:p>
            <w:pPr>
              <w:spacing w:after="0" w:before="0" w:line="264"/>
            </w:pPr>
            <w:r>
              <w:rPr>
                <w:rFonts w:ascii="Arial" w:cs="Arial" w:eastAsia="Arial" w:hAnsi="Arial"/>
                <w:color w:val="607a80"/>
                <w:sz w:val="19"/>
                <w:szCs w:val="19"/>
              </w:rPr>
              <w:t xml:space="preserve">This is the single biggest number in the fee decision. Cin7 pays for itself on volume. A few hundred movements a month or less is manageable in Xero.</w:t>
            </w:r>
          </w:p>
        </w:tc>
      </w:tr>
      <w:tr>
        <w:trPr>
          <w:cantSplit/>
        </w:trPr>
        <w:tc>
          <w:tcPr>
            <w:tcW w:type="dxa" w:w="700"/>
            <w:tcBorders>
              <w:top w:val="single" w:color="e0dfdd" w:sz="4"/>
              <w:left w:val="single" w:color="e0dfdd" w:sz="4"/>
              <w:bottom w:val="single" w:color="e0dfdd" w:sz="4"/>
              <w:right w:val="single" w:color="e0dfdd" w:sz="4"/>
            </w:tcBorders>
            <w:shd w:fill="fbf7ec" w:val="clear"/>
          </w:tcPr>
          <w:p>
            <w:pPr>
              <w:jc w:val="center"/>
            </w:pPr>
            <w:r>
              <w:rPr>
                <w:rFonts w:ascii="Montserrat" w:cs="Montserrat" w:eastAsia="Montserrat" w:hAnsi="Montserrat"/>
                <w:b/>
                <w:bCs/>
                <w:color w:val="607a80"/>
                <w:sz w:val="13"/>
                <w:szCs w:val="13"/>
              </w:rPr>
              <w:t xml:space="preserve">A</w:t>
            </w:r>
          </w:p>
        </w:tc>
        <w:tc>
          <w:tcPr>
            <w:tcW w:type="dxa" w:w="8940"/>
            <w:tcBorders>
              <w:top w:val="single" w:color="e0dfdd" w:sz="4"/>
              <w:left w:val="single" w:color="e0dfdd" w:sz="4"/>
              <w:bottom w:val="single" w:color="e0dfdd" w:sz="4"/>
              <w:right w:val="single" w:color="e0dfdd" w:sz="4"/>
            </w:tcBorders>
            <w:shd w:fill="fbf7ec" w:val="clear"/>
            <w:tcMar>
              <w:top w:type="dxa" w:w="100"/>
              <w:left w:type="dxa" w:w="200"/>
              <w:bottom w:type="dxa" w:w="100"/>
              <w:right w:type="dxa" w:w="200"/>
            </w:tcMar>
          </w:tcPr>
          <w:p>
            <w:pPr>
              <w:spacing w:after="60" w:before="0" w:line="264"/>
            </w:pPr>
            <w:r>
              <w:rPr>
                <w:rFonts w:ascii="Montserrat" w:cs="Montserrat" w:eastAsia="Montserrat" w:hAnsi="Montserrat"/>
                <w:b/>
                <w:bCs/>
                <w:color w:val="607a80"/>
                <w:spacing w:val="20"/>
                <w:sz w:val="13"/>
                <w:szCs w:val="13"/>
              </w:rPr>
              <w:t xml:space="preserve">PRE-FILLED FROM OUR CALLS. PLEASE CORRECT ANYTHING THAT IS OFF:</w:t>
            </w:r>
          </w:p>
          <w:p>
            <w:pPr>
              <w:spacing w:after="120" w:before="0" w:line="264"/>
            </w:pPr>
            <w:r>
              <w:rPr>
                <w:rFonts w:ascii="Arial" w:cs="Arial" w:eastAsia="Arial" w:hAnsi="Arial"/>
                <w:color w:val="2d3741"/>
                <w:sz w:val="20"/>
                <w:szCs w:val="20"/>
              </w:rPr>
              <w:t xml:space="preserve">Low volume. A handful of instruments and parts leave the building per day, stock is one in, one out, and nothing travels to site with technicians. Parts used in office repairs are written out of stock to a cost account. We estimate well under 200 movements a month. Stock value: we do not have a number yet, please give us a rough figure.</w:t>
            </w:r>
          </w:p>
          <w:p>
            <w:pPr>
              <w:spacing w:after="0" w:before="0" w:line="264"/>
            </w:pPr>
            <w:r>
              <w:rPr>
                <w:rFonts w:ascii="Arial" w:cs="Arial" w:eastAsia="Arial" w:hAnsi="Arial"/>
                <w:i/>
                <w:iCs/>
                <w:color w:val="97aaaa"/>
                <w:sz w:val="19"/>
                <w:szCs w:val="19"/>
              </w:rPr>
              <w:t xml:space="preserve">Your answer / corrections:</w:t>
            </w:r>
          </w:p>
          <w:p>
            <w:pPr>
              <w:spacing w:after="0" w:before="0" w:line="264"/>
            </w:pPr>
            <w:r>
              <w:rPr>
                <w:rFonts w:ascii="Arial" w:cs="Arial" w:eastAsia="Arial" w:hAnsi="Arial"/>
                <w:color w:val="2d3741"/>
                <w:sz w:val="20"/>
                <w:szCs w:val="20"/>
              </w:rPr>
              <w:t xml:space="preserve"> </w:t>
            </w:r>
          </w:p>
          <w:p>
            <w:pPr>
              <w:spacing w:after="0" w:before="0" w:line="264"/>
            </w:pPr>
            <w:r>
              <w:rPr>
                <w:rFonts w:ascii="Arial" w:cs="Arial" w:eastAsia="Arial" w:hAnsi="Arial"/>
                <w:color w:val="2d3741"/>
                <w:sz w:val="20"/>
                <w:szCs w:val="20"/>
              </w:rPr>
              <w:t xml:space="preserve"> </w:t>
            </w:r>
          </w:p>
          <w:p>
            <w:pPr>
              <w:spacing w:after="0" w:before="0" w:line="264"/>
            </w:pPr>
            <w:r>
              <w:rPr>
                <w:rFonts w:ascii="Arial" w:cs="Arial" w:eastAsia="Arial" w:hAnsi="Arial"/>
                <w:color w:val="2d3741"/>
                <w:sz w:val="20"/>
                <w:szCs w:val="20"/>
              </w:rPr>
              <w:t xml:space="preserve"> </w:t>
            </w:r>
          </w:p>
        </w:tc>
      </w:tr>
    </w:tbl>
    <w:p>
      <w:pPr>
        <w:spacing w:after="240"/>
      </w:pPr>
    </w:p>
    <w:tbl>
      <w:tblPr>
        <w:tblW w:type="dxa" w:w="9640"/>
        <w:tblBorders>
          <w:top w:val="single" w:color="e0dfdd" w:sz="4"/>
          <w:left w:val="single" w:color="e0dfdd" w:sz="4"/>
          <w:bottom w:val="single" w:color="e0dfdd" w:sz="4"/>
          <w:right w:val="single" w:color="e0dfdd" w:sz="4"/>
          <w:insideH w:val="single" w:color="e0dfdd" w:sz="4"/>
          <w:insideV w:val="single" w:color="e0dfdd" w:sz="4"/>
        </w:tblBorders>
      </w:tblPr>
      <w:tblGrid>
        <w:gridCol w:w="700"/>
        <w:gridCol w:w="8940"/>
      </w:tblGrid>
      <w:tr>
        <w:trPr>
          <w:cantSplit/>
        </w:trPr>
        <w:tc>
          <w:tcPr>
            <w:tcW w:type="dxa" w:w="700"/>
            <w:tcBorders>
              <w:top w:val="single" w:color="e0dfdd" w:sz="4"/>
              <w:left w:val="single" w:color="e0dfdd" w:sz="4"/>
              <w:bottom w:val="single" w:color="e0dfdd" w:sz="4"/>
              <w:right w:val="single" w:color="e0dfdd" w:sz="4"/>
            </w:tcBorders>
            <w:shd w:fill="2d3741" w:val="clear"/>
            <w:vAlign w:val="center"/>
          </w:tcPr>
          <w:p>
            <w:pPr>
              <w:jc w:val="center"/>
            </w:pPr>
            <w:r>
              <w:rPr>
                <w:rFonts w:ascii="Montserrat" w:cs="Montserrat" w:eastAsia="Montserrat" w:hAnsi="Montserrat"/>
                <w:b/>
                <w:bCs/>
                <w:color w:val="FFFFFF"/>
                <w:sz w:val="26"/>
                <w:szCs w:val="26"/>
              </w:rPr>
              <w:t xml:space="preserve">3</w:t>
            </w:r>
          </w:p>
        </w:tc>
        <w:tc>
          <w:tcPr>
            <w:tcW w:type="dxa" w:w="8940"/>
            <w:tcBorders>
              <w:top w:val="single" w:color="e0dfdd" w:sz="4"/>
              <w:left w:val="single" w:color="e0dfdd" w:sz="4"/>
              <w:bottom w:val="single" w:color="e0dfdd" w:sz="4"/>
              <w:right w:val="single" w:color="e0dfdd" w:sz="4"/>
            </w:tcBorders>
            <w:tcMar>
              <w:top w:type="dxa" w:w="120"/>
              <w:left w:type="dxa" w:w="200"/>
              <w:bottom w:type="dxa" w:w="120"/>
              <w:right w:type="dxa" w:w="200"/>
            </w:tcMar>
            <w:vAlign w:val="center"/>
          </w:tcPr>
          <w:p>
            <w:pPr>
              <w:spacing w:after="0" w:before="0" w:line="264"/>
            </w:pPr>
            <w:r>
              <w:rPr>
                <w:rFonts w:ascii="Arial" w:cs="Arial" w:eastAsia="Arial" w:hAnsi="Arial"/>
                <w:b/>
                <w:bCs/>
                <w:color w:val="2d3741"/>
                <w:sz w:val="21"/>
                <w:szCs w:val="21"/>
              </w:rPr>
              <w:t xml:space="preserve">Do you need the new system to track individual instruments by serial number, either your own stock or customer instruments in for calibration and repair?</w:t>
            </w:r>
          </w:p>
        </w:tc>
      </w:tr>
      <w:tr>
        <w:trPr>
          <w:cantSplit/>
        </w:trPr>
        <w:tc>
          <w:tcPr>
            <w:tcW w:type="dxa" w:w="700"/>
            <w:tcBorders>
              <w:top w:val="single" w:color="e0dfdd" w:sz="4"/>
              <w:left w:val="single" w:color="e0dfdd" w:sz="4"/>
              <w:bottom w:val="single" w:color="e0dfdd" w:sz="4"/>
              <w:right w:val="single" w:color="e0dfdd" w:sz="4"/>
            </w:tcBorders>
            <w:shd w:fill="faeeea" w:val="clear"/>
          </w:tcPr>
          <w:p>
            <w:pPr>
              <w:jc w:val="center"/>
            </w:pPr>
            <w:r>
              <w:rPr>
                <w:rFonts w:ascii="Montserrat" w:cs="Montserrat" w:eastAsia="Montserrat" w:hAnsi="Montserrat"/>
                <w:b/>
                <w:bCs/>
                <w:color w:val="dd7353"/>
                <w:sz w:val="13"/>
                <w:szCs w:val="13"/>
              </w:rPr>
              <w:t xml:space="preserve">WHY</w:t>
            </w:r>
          </w:p>
        </w:tc>
        <w:tc>
          <w:tcPr>
            <w:tcW w:type="dxa" w:w="8940"/>
            <w:tcBorders>
              <w:top w:val="single" w:color="e0dfdd" w:sz="4"/>
              <w:left w:val="single" w:color="e0dfdd" w:sz="4"/>
              <w:bottom w:val="single" w:color="e0dfdd" w:sz="4"/>
              <w:right w:val="single" w:color="e0dfdd" w:sz="4"/>
            </w:tcBorders>
            <w:shd w:fill="faeeea" w:val="clear"/>
            <w:tcMar>
              <w:top w:type="dxa" w:w="100"/>
              <w:left w:type="dxa" w:w="200"/>
              <w:bottom w:type="dxa" w:w="100"/>
              <w:right w:type="dxa" w:w="200"/>
            </w:tcMar>
          </w:tcPr>
          <w:p>
            <w:pPr>
              <w:spacing w:after="0" w:before="0" w:line="264"/>
            </w:pPr>
            <w:r>
              <w:rPr>
                <w:rFonts w:ascii="Arial" w:cs="Arial" w:eastAsia="Arial" w:hAnsi="Arial"/>
                <w:color w:val="607a80"/>
                <w:sz w:val="19"/>
                <w:szCs w:val="19"/>
              </w:rPr>
              <w:t xml:space="preserve">Xero cannot track serial numbers. Cin7 can. If serials matter for warranty, calibration certificates or recalls, this question alone can settle the decision.</w:t>
            </w:r>
          </w:p>
        </w:tc>
      </w:tr>
      <w:tr>
        <w:trPr>
          <w:cantSplit/>
        </w:trPr>
        <w:tc>
          <w:tcPr>
            <w:tcW w:type="dxa" w:w="700"/>
            <w:tcBorders>
              <w:top w:val="single" w:color="e0dfdd" w:sz="4"/>
              <w:left w:val="single" w:color="e0dfdd" w:sz="4"/>
              <w:bottom w:val="single" w:color="e0dfdd" w:sz="4"/>
              <w:right w:val="single" w:color="e0dfdd" w:sz="4"/>
            </w:tcBorders>
            <w:shd w:fill="fbf7ec" w:val="clear"/>
          </w:tcPr>
          <w:p>
            <w:pPr>
              <w:jc w:val="center"/>
            </w:pPr>
            <w:r>
              <w:rPr>
                <w:rFonts w:ascii="Montserrat" w:cs="Montserrat" w:eastAsia="Montserrat" w:hAnsi="Montserrat"/>
                <w:b/>
                <w:bCs/>
                <w:color w:val="607a80"/>
                <w:sz w:val="13"/>
                <w:szCs w:val="13"/>
              </w:rPr>
              <w:t xml:space="preserve">A</w:t>
            </w:r>
          </w:p>
        </w:tc>
        <w:tc>
          <w:tcPr>
            <w:tcW w:type="dxa" w:w="8940"/>
            <w:tcBorders>
              <w:top w:val="single" w:color="e0dfdd" w:sz="4"/>
              <w:left w:val="single" w:color="e0dfdd" w:sz="4"/>
              <w:bottom w:val="single" w:color="e0dfdd" w:sz="4"/>
              <w:right w:val="single" w:color="e0dfdd" w:sz="4"/>
            </w:tcBorders>
            <w:shd w:fill="fbf7ec" w:val="clear"/>
            <w:tcMar>
              <w:top w:type="dxa" w:w="100"/>
              <w:left w:type="dxa" w:w="200"/>
              <w:bottom w:type="dxa" w:w="100"/>
              <w:right w:type="dxa" w:w="200"/>
            </w:tcMar>
          </w:tcPr>
          <w:p>
            <w:pPr>
              <w:spacing w:after="60" w:before="0" w:line="264"/>
            </w:pPr>
            <w:r>
              <w:rPr>
                <w:rFonts w:ascii="Montserrat" w:cs="Montserrat" w:eastAsia="Montserrat" w:hAnsi="Montserrat"/>
                <w:b/>
                <w:bCs/>
                <w:color w:val="607a80"/>
                <w:spacing w:val="20"/>
                <w:sz w:val="13"/>
                <w:szCs w:val="13"/>
              </w:rPr>
              <w:t xml:space="preserve">PRE-FILLED FROM OUR CALLS. PLEASE CORRECT ANYTHING THAT IS OFF:</w:t>
            </w:r>
          </w:p>
          <w:p>
            <w:pPr>
              <w:spacing w:after="120" w:before="0" w:line="264"/>
            </w:pPr>
            <w:r>
              <w:rPr>
                <w:rFonts w:ascii="Arial" w:cs="Arial" w:eastAsia="Arial" w:hAnsi="Arial"/>
                <w:color w:val="2d3741"/>
                <w:sz w:val="20"/>
                <w:szCs w:val="20"/>
              </w:rPr>
              <w:t xml:space="preserve">SAP does not track serial numbers today. Customer instruments in for calibration are managed by Sam outside the accounting system, and your own stock is counted by quantity only. Calibration certificates are issued per instrument but not driven from SAP.</w:t>
            </w:r>
          </w:p>
          <w:p>
            <w:pPr>
              <w:spacing w:after="0" w:before="0" w:line="264"/>
            </w:pPr>
            <w:r>
              <w:rPr>
                <w:rFonts w:ascii="Arial" w:cs="Arial" w:eastAsia="Arial" w:hAnsi="Arial"/>
                <w:i/>
                <w:iCs/>
                <w:color w:val="97aaaa"/>
                <w:sz w:val="19"/>
                <w:szCs w:val="19"/>
              </w:rPr>
              <w:t xml:space="preserve">Your answer / corrections:</w:t>
            </w:r>
          </w:p>
          <w:p>
            <w:pPr>
              <w:spacing w:after="0" w:before="0" w:line="264"/>
            </w:pPr>
            <w:r>
              <w:rPr>
                <w:rFonts w:ascii="Arial" w:cs="Arial" w:eastAsia="Arial" w:hAnsi="Arial"/>
                <w:color w:val="2d3741"/>
                <w:sz w:val="20"/>
                <w:szCs w:val="20"/>
              </w:rPr>
              <w:t xml:space="preserve"> </w:t>
            </w:r>
          </w:p>
          <w:p>
            <w:pPr>
              <w:spacing w:after="0" w:before="0" w:line="264"/>
            </w:pPr>
            <w:r>
              <w:rPr>
                <w:rFonts w:ascii="Arial" w:cs="Arial" w:eastAsia="Arial" w:hAnsi="Arial"/>
                <w:color w:val="2d3741"/>
                <w:sz w:val="20"/>
                <w:szCs w:val="20"/>
              </w:rPr>
              <w:t xml:space="preserve"> </w:t>
            </w:r>
          </w:p>
          <w:p>
            <w:pPr>
              <w:spacing w:after="0" w:before="0" w:line="264"/>
            </w:pPr>
            <w:r>
              <w:rPr>
                <w:rFonts w:ascii="Arial" w:cs="Arial" w:eastAsia="Arial" w:hAnsi="Arial"/>
                <w:color w:val="2d3741"/>
                <w:sz w:val="20"/>
                <w:szCs w:val="20"/>
              </w:rPr>
              <w:t xml:space="preserve"> </w:t>
            </w:r>
          </w:p>
        </w:tc>
      </w:tr>
    </w:tbl>
    <w:p>
      <w:pPr>
        <w:spacing w:after="240"/>
      </w:pPr>
    </w:p>
    <w:tbl>
      <w:tblPr>
        <w:tblW w:type="dxa" w:w="9640"/>
        <w:tblBorders>
          <w:top w:val="single" w:color="e0dfdd" w:sz="4"/>
          <w:left w:val="single" w:color="e0dfdd" w:sz="4"/>
          <w:bottom w:val="single" w:color="e0dfdd" w:sz="4"/>
          <w:right w:val="single" w:color="e0dfdd" w:sz="4"/>
          <w:insideH w:val="single" w:color="e0dfdd" w:sz="4"/>
          <w:insideV w:val="single" w:color="e0dfdd" w:sz="4"/>
        </w:tblBorders>
      </w:tblPr>
      <w:tblGrid>
        <w:gridCol w:w="700"/>
        <w:gridCol w:w="8940"/>
      </w:tblGrid>
      <w:tr>
        <w:trPr>
          <w:cantSplit/>
        </w:trPr>
        <w:tc>
          <w:tcPr>
            <w:tcW w:type="dxa" w:w="700"/>
            <w:tcBorders>
              <w:top w:val="single" w:color="e0dfdd" w:sz="4"/>
              <w:left w:val="single" w:color="e0dfdd" w:sz="4"/>
              <w:bottom w:val="single" w:color="e0dfdd" w:sz="4"/>
              <w:right w:val="single" w:color="e0dfdd" w:sz="4"/>
            </w:tcBorders>
            <w:shd w:fill="2d3741" w:val="clear"/>
            <w:vAlign w:val="center"/>
          </w:tcPr>
          <w:p>
            <w:pPr>
              <w:jc w:val="center"/>
            </w:pPr>
            <w:r>
              <w:rPr>
                <w:rFonts w:ascii="Montserrat" w:cs="Montserrat" w:eastAsia="Montserrat" w:hAnsi="Montserrat"/>
                <w:b/>
                <w:bCs/>
                <w:color w:val="FFFFFF"/>
                <w:sz w:val="26"/>
                <w:szCs w:val="26"/>
              </w:rPr>
              <w:t xml:space="preserve">4</w:t>
            </w:r>
          </w:p>
        </w:tc>
        <w:tc>
          <w:tcPr>
            <w:tcW w:type="dxa" w:w="8940"/>
            <w:tcBorders>
              <w:top w:val="single" w:color="e0dfdd" w:sz="4"/>
              <w:left w:val="single" w:color="e0dfdd" w:sz="4"/>
              <w:bottom w:val="single" w:color="e0dfdd" w:sz="4"/>
              <w:right w:val="single" w:color="e0dfdd" w:sz="4"/>
            </w:tcBorders>
            <w:tcMar>
              <w:top w:type="dxa" w:w="120"/>
              <w:left w:type="dxa" w:w="200"/>
              <w:bottom w:type="dxa" w:w="120"/>
              <w:right w:type="dxa" w:w="200"/>
            </w:tcMar>
            <w:vAlign w:val="center"/>
          </w:tcPr>
          <w:p>
            <w:pPr>
              <w:spacing w:after="0" w:before="0" w:line="264"/>
            </w:pPr>
            <w:r>
              <w:rPr>
                <w:rFonts w:ascii="Arial" w:cs="Arial" w:eastAsia="Arial" w:hAnsi="Arial"/>
                <w:b/>
                <w:bCs/>
                <w:color w:val="2d3741"/>
                <w:sz w:val="21"/>
                <w:szCs w:val="21"/>
              </w:rPr>
              <w:t xml:space="preserve">When a customer instrument arrives for calibration or repair, how do you track the job between arrival and invoicing, and does that need to live in a system (status, due dates, who has it)?</w:t>
            </w:r>
          </w:p>
        </w:tc>
      </w:tr>
      <w:tr>
        <w:trPr>
          <w:cantSplit/>
        </w:trPr>
        <w:tc>
          <w:tcPr>
            <w:tcW w:type="dxa" w:w="700"/>
            <w:tcBorders>
              <w:top w:val="single" w:color="e0dfdd" w:sz="4"/>
              <w:left w:val="single" w:color="e0dfdd" w:sz="4"/>
              <w:bottom w:val="single" w:color="e0dfdd" w:sz="4"/>
              <w:right w:val="single" w:color="e0dfdd" w:sz="4"/>
            </w:tcBorders>
            <w:shd w:fill="faeeea" w:val="clear"/>
          </w:tcPr>
          <w:p>
            <w:pPr>
              <w:jc w:val="center"/>
            </w:pPr>
            <w:r>
              <w:rPr>
                <w:rFonts w:ascii="Montserrat" w:cs="Montserrat" w:eastAsia="Montserrat" w:hAnsi="Montserrat"/>
                <w:b/>
                <w:bCs/>
                <w:color w:val="dd7353"/>
                <w:sz w:val="13"/>
                <w:szCs w:val="13"/>
              </w:rPr>
              <w:t xml:space="preserve">WHY</w:t>
            </w:r>
          </w:p>
        </w:tc>
        <w:tc>
          <w:tcPr>
            <w:tcW w:type="dxa" w:w="8940"/>
            <w:tcBorders>
              <w:top w:val="single" w:color="e0dfdd" w:sz="4"/>
              <w:left w:val="single" w:color="e0dfdd" w:sz="4"/>
              <w:bottom w:val="single" w:color="e0dfdd" w:sz="4"/>
              <w:right w:val="single" w:color="e0dfdd" w:sz="4"/>
            </w:tcBorders>
            <w:shd w:fill="faeeea" w:val="clear"/>
            <w:tcMar>
              <w:top w:type="dxa" w:w="100"/>
              <w:left w:type="dxa" w:w="200"/>
              <w:bottom w:type="dxa" w:w="100"/>
              <w:right w:type="dxa" w:w="200"/>
            </w:tcMar>
          </w:tcPr>
          <w:p>
            <w:pPr>
              <w:spacing w:after="0" w:before="0" w:line="264"/>
            </w:pPr>
            <w:r>
              <w:rPr>
                <w:rFonts w:ascii="Arial" w:cs="Arial" w:eastAsia="Arial" w:hAnsi="Arial"/>
                <w:color w:val="607a80"/>
                <w:sz w:val="19"/>
                <w:szCs w:val="19"/>
              </w:rPr>
              <w:t xml:space="preserve">Neither Cin7 nor Xero is a job card system. If job tracking is the real need, we solve it with the CRM or a simple register, and it should not drive the Cin7 decision.</w:t>
            </w:r>
          </w:p>
        </w:tc>
      </w:tr>
      <w:tr>
        <w:trPr>
          <w:cantSplit/>
        </w:trPr>
        <w:tc>
          <w:tcPr>
            <w:tcW w:type="dxa" w:w="700"/>
            <w:tcBorders>
              <w:top w:val="single" w:color="e0dfdd" w:sz="4"/>
              <w:left w:val="single" w:color="e0dfdd" w:sz="4"/>
              <w:bottom w:val="single" w:color="e0dfdd" w:sz="4"/>
              <w:right w:val="single" w:color="e0dfdd" w:sz="4"/>
            </w:tcBorders>
            <w:shd w:fill="fbf7ec" w:val="clear"/>
          </w:tcPr>
          <w:p>
            <w:pPr>
              <w:jc w:val="center"/>
            </w:pPr>
            <w:r>
              <w:rPr>
                <w:rFonts w:ascii="Montserrat" w:cs="Montserrat" w:eastAsia="Montserrat" w:hAnsi="Montserrat"/>
                <w:b/>
                <w:bCs/>
                <w:color w:val="607a80"/>
                <w:sz w:val="13"/>
                <w:szCs w:val="13"/>
              </w:rPr>
              <w:t xml:space="preserve">A</w:t>
            </w:r>
          </w:p>
        </w:tc>
        <w:tc>
          <w:tcPr>
            <w:tcW w:type="dxa" w:w="8940"/>
            <w:tcBorders>
              <w:top w:val="single" w:color="e0dfdd" w:sz="4"/>
              <w:left w:val="single" w:color="e0dfdd" w:sz="4"/>
              <w:bottom w:val="single" w:color="e0dfdd" w:sz="4"/>
              <w:right w:val="single" w:color="e0dfdd" w:sz="4"/>
            </w:tcBorders>
            <w:shd w:fill="fbf7ec" w:val="clear"/>
            <w:tcMar>
              <w:top w:type="dxa" w:w="100"/>
              <w:left w:type="dxa" w:w="200"/>
              <w:bottom w:type="dxa" w:w="100"/>
              <w:right w:type="dxa" w:w="200"/>
            </w:tcMar>
          </w:tcPr>
          <w:p>
            <w:pPr>
              <w:spacing w:after="60" w:before="0" w:line="264"/>
            </w:pPr>
            <w:r>
              <w:rPr>
                <w:rFonts w:ascii="Montserrat" w:cs="Montserrat" w:eastAsia="Montserrat" w:hAnsi="Montserrat"/>
                <w:b/>
                <w:bCs/>
                <w:color w:val="607a80"/>
                <w:spacing w:val="20"/>
                <w:sz w:val="13"/>
                <w:szCs w:val="13"/>
              </w:rPr>
              <w:t xml:space="preserve">PRE-FILLED FROM OUR CALLS. PLEASE CORRECT ANYTHING THAT IS OFF:</w:t>
            </w:r>
          </w:p>
          <w:p>
            <w:pPr>
              <w:spacing w:after="120" w:before="0" w:line="264"/>
            </w:pPr>
            <w:r>
              <w:rPr>
                <w:rFonts w:ascii="Arial" w:cs="Arial" w:eastAsia="Arial" w:hAnsi="Arial"/>
                <w:color w:val="2d3741"/>
                <w:sz w:val="20"/>
                <w:szCs w:val="20"/>
              </w:rPr>
              <w:t xml:space="preserve">Sam manages the workshop flow informally, Michelle raises the invoice once Sam confirms dispatch, and the invoice is the only system touchpoint. Job cards and codes are typed into text boxes on the invoice. This works at current volumes.</w:t>
            </w:r>
          </w:p>
          <w:p>
            <w:pPr>
              <w:spacing w:after="0" w:before="0" w:line="264"/>
            </w:pPr>
            <w:r>
              <w:rPr>
                <w:rFonts w:ascii="Arial" w:cs="Arial" w:eastAsia="Arial" w:hAnsi="Arial"/>
                <w:i/>
                <w:iCs/>
                <w:color w:val="97aaaa"/>
                <w:sz w:val="19"/>
                <w:szCs w:val="19"/>
              </w:rPr>
              <w:t xml:space="preserve">Your answer / corrections:</w:t>
            </w:r>
          </w:p>
          <w:p>
            <w:pPr>
              <w:spacing w:after="0" w:before="0" w:line="264"/>
            </w:pPr>
            <w:r>
              <w:rPr>
                <w:rFonts w:ascii="Arial" w:cs="Arial" w:eastAsia="Arial" w:hAnsi="Arial"/>
                <w:color w:val="2d3741"/>
                <w:sz w:val="20"/>
                <w:szCs w:val="20"/>
              </w:rPr>
              <w:t xml:space="preserve"> </w:t>
            </w:r>
          </w:p>
          <w:p>
            <w:pPr>
              <w:spacing w:after="0" w:before="0" w:line="264"/>
            </w:pPr>
            <w:r>
              <w:rPr>
                <w:rFonts w:ascii="Arial" w:cs="Arial" w:eastAsia="Arial" w:hAnsi="Arial"/>
                <w:color w:val="2d3741"/>
                <w:sz w:val="20"/>
                <w:szCs w:val="20"/>
              </w:rPr>
              <w:t xml:space="preserve"> </w:t>
            </w:r>
          </w:p>
          <w:p>
            <w:pPr>
              <w:spacing w:after="0" w:before="0" w:line="264"/>
            </w:pPr>
            <w:r>
              <w:rPr>
                <w:rFonts w:ascii="Arial" w:cs="Arial" w:eastAsia="Arial" w:hAnsi="Arial"/>
                <w:color w:val="2d3741"/>
                <w:sz w:val="20"/>
                <w:szCs w:val="20"/>
              </w:rPr>
              <w:t xml:space="preserve"> </w:t>
            </w:r>
          </w:p>
        </w:tc>
      </w:tr>
    </w:tbl>
    <w:p>
      <w:pPr>
        <w:spacing w:after="240"/>
      </w:pPr>
    </w:p>
    <w:tbl>
      <w:tblPr>
        <w:tblW w:type="dxa" w:w="9640"/>
        <w:tblBorders>
          <w:top w:val="single" w:color="e0dfdd" w:sz="4"/>
          <w:left w:val="single" w:color="e0dfdd" w:sz="4"/>
          <w:bottom w:val="single" w:color="e0dfdd" w:sz="4"/>
          <w:right w:val="single" w:color="e0dfdd" w:sz="4"/>
          <w:insideH w:val="single" w:color="e0dfdd" w:sz="4"/>
          <w:insideV w:val="single" w:color="e0dfdd" w:sz="4"/>
        </w:tblBorders>
      </w:tblPr>
      <w:tblGrid>
        <w:gridCol w:w="700"/>
        <w:gridCol w:w="8940"/>
      </w:tblGrid>
      <w:tr>
        <w:trPr>
          <w:cantSplit/>
        </w:trPr>
        <w:tc>
          <w:tcPr>
            <w:tcW w:type="dxa" w:w="700"/>
            <w:tcBorders>
              <w:top w:val="single" w:color="e0dfdd" w:sz="4"/>
              <w:left w:val="single" w:color="e0dfdd" w:sz="4"/>
              <w:bottom w:val="single" w:color="e0dfdd" w:sz="4"/>
              <w:right w:val="single" w:color="e0dfdd" w:sz="4"/>
            </w:tcBorders>
            <w:shd w:fill="2d3741" w:val="clear"/>
            <w:vAlign w:val="center"/>
          </w:tcPr>
          <w:p>
            <w:pPr>
              <w:jc w:val="center"/>
            </w:pPr>
            <w:r>
              <w:rPr>
                <w:rFonts w:ascii="Montserrat" w:cs="Montserrat" w:eastAsia="Montserrat" w:hAnsi="Montserrat"/>
                <w:b/>
                <w:bCs/>
                <w:color w:val="FFFFFF"/>
                <w:sz w:val="26"/>
                <w:szCs w:val="26"/>
              </w:rPr>
              <w:t xml:space="preserve">5</w:t>
            </w:r>
          </w:p>
        </w:tc>
        <w:tc>
          <w:tcPr>
            <w:tcW w:type="dxa" w:w="8940"/>
            <w:tcBorders>
              <w:top w:val="single" w:color="e0dfdd" w:sz="4"/>
              <w:left w:val="single" w:color="e0dfdd" w:sz="4"/>
              <w:bottom w:val="single" w:color="e0dfdd" w:sz="4"/>
              <w:right w:val="single" w:color="e0dfdd" w:sz="4"/>
            </w:tcBorders>
            <w:tcMar>
              <w:top w:type="dxa" w:w="120"/>
              <w:left w:type="dxa" w:w="200"/>
              <w:bottom w:type="dxa" w:w="120"/>
              <w:right w:type="dxa" w:w="200"/>
            </w:tcMar>
            <w:vAlign w:val="center"/>
          </w:tcPr>
          <w:p>
            <w:pPr>
              <w:spacing w:after="0" w:before="0" w:line="264"/>
            </w:pPr>
            <w:r>
              <w:rPr>
                <w:rFonts w:ascii="Arial" w:cs="Arial" w:eastAsia="Arial" w:hAnsi="Arial"/>
                <w:b/>
                <w:bCs/>
                <w:color w:val="2d3741"/>
                <w:sz w:val="21"/>
                <w:szCs w:val="21"/>
              </w:rPr>
              <w:t xml:space="preserve">Quotes and sales orders: roughly how many quotes and sales orders do you raise a month, how often do orders part-ship or go on back order, and how important is future-dating quotes for the November annual cycle?</w:t>
            </w:r>
          </w:p>
        </w:tc>
      </w:tr>
      <w:tr>
        <w:trPr>
          <w:cantSplit/>
        </w:trPr>
        <w:tc>
          <w:tcPr>
            <w:tcW w:type="dxa" w:w="700"/>
            <w:tcBorders>
              <w:top w:val="single" w:color="e0dfdd" w:sz="4"/>
              <w:left w:val="single" w:color="e0dfdd" w:sz="4"/>
              <w:bottom w:val="single" w:color="e0dfdd" w:sz="4"/>
              <w:right w:val="single" w:color="e0dfdd" w:sz="4"/>
            </w:tcBorders>
            <w:shd w:fill="faeeea" w:val="clear"/>
          </w:tcPr>
          <w:p>
            <w:pPr>
              <w:jc w:val="center"/>
            </w:pPr>
            <w:r>
              <w:rPr>
                <w:rFonts w:ascii="Montserrat" w:cs="Montserrat" w:eastAsia="Montserrat" w:hAnsi="Montserrat"/>
                <w:b/>
                <w:bCs/>
                <w:color w:val="dd7353"/>
                <w:sz w:val="13"/>
                <w:szCs w:val="13"/>
              </w:rPr>
              <w:t xml:space="preserve">WHY</w:t>
            </w:r>
          </w:p>
        </w:tc>
        <w:tc>
          <w:tcPr>
            <w:tcW w:type="dxa" w:w="8940"/>
            <w:tcBorders>
              <w:top w:val="single" w:color="e0dfdd" w:sz="4"/>
              <w:left w:val="single" w:color="e0dfdd" w:sz="4"/>
              <w:bottom w:val="single" w:color="e0dfdd" w:sz="4"/>
              <w:right w:val="single" w:color="e0dfdd" w:sz="4"/>
            </w:tcBorders>
            <w:shd w:fill="faeeea" w:val="clear"/>
            <w:tcMar>
              <w:top w:type="dxa" w:w="100"/>
              <w:left w:type="dxa" w:w="200"/>
              <w:bottom w:type="dxa" w:w="100"/>
              <w:right w:type="dxa" w:w="200"/>
            </w:tcMar>
          </w:tcPr>
          <w:p>
            <w:pPr>
              <w:spacing w:after="0" w:before="0" w:line="264"/>
            </w:pPr>
            <w:r>
              <w:rPr>
                <w:rFonts w:ascii="Arial" w:cs="Arial" w:eastAsia="Arial" w:hAnsi="Arial"/>
                <w:color w:val="607a80"/>
                <w:sz w:val="19"/>
                <w:szCs w:val="19"/>
              </w:rPr>
              <w:t xml:space="preserve">Xero has quotes and invoices but no sales order step and no back orders. Cin7 has the full quote to sales order to shipment flow. Real volumes tell us whether that flow is worth paying for.</w:t>
            </w:r>
          </w:p>
        </w:tc>
      </w:tr>
      <w:tr>
        <w:trPr>
          <w:cantSplit/>
        </w:trPr>
        <w:tc>
          <w:tcPr>
            <w:tcW w:type="dxa" w:w="700"/>
            <w:tcBorders>
              <w:top w:val="single" w:color="e0dfdd" w:sz="4"/>
              <w:left w:val="single" w:color="e0dfdd" w:sz="4"/>
              <w:bottom w:val="single" w:color="e0dfdd" w:sz="4"/>
              <w:right w:val="single" w:color="e0dfdd" w:sz="4"/>
            </w:tcBorders>
            <w:shd w:fill="fbf7ec" w:val="clear"/>
          </w:tcPr>
          <w:p>
            <w:pPr>
              <w:jc w:val="center"/>
            </w:pPr>
            <w:r>
              <w:rPr>
                <w:rFonts w:ascii="Montserrat" w:cs="Montserrat" w:eastAsia="Montserrat" w:hAnsi="Montserrat"/>
                <w:b/>
                <w:bCs/>
                <w:color w:val="607a80"/>
                <w:sz w:val="13"/>
                <w:szCs w:val="13"/>
              </w:rPr>
              <w:t xml:space="preserve">A</w:t>
            </w:r>
          </w:p>
        </w:tc>
        <w:tc>
          <w:tcPr>
            <w:tcW w:type="dxa" w:w="8940"/>
            <w:tcBorders>
              <w:top w:val="single" w:color="e0dfdd" w:sz="4"/>
              <w:left w:val="single" w:color="e0dfdd" w:sz="4"/>
              <w:bottom w:val="single" w:color="e0dfdd" w:sz="4"/>
              <w:right w:val="single" w:color="e0dfdd" w:sz="4"/>
            </w:tcBorders>
            <w:shd w:fill="fbf7ec" w:val="clear"/>
            <w:tcMar>
              <w:top w:type="dxa" w:w="100"/>
              <w:left w:type="dxa" w:w="200"/>
              <w:bottom w:type="dxa" w:w="100"/>
              <w:right w:type="dxa" w:w="200"/>
            </w:tcMar>
          </w:tcPr>
          <w:p>
            <w:pPr>
              <w:spacing w:after="60" w:before="0" w:line="264"/>
            </w:pPr>
            <w:r>
              <w:rPr>
                <w:rFonts w:ascii="Montserrat" w:cs="Montserrat" w:eastAsia="Montserrat" w:hAnsi="Montserrat"/>
                <w:b/>
                <w:bCs/>
                <w:color w:val="607a80"/>
                <w:spacing w:val="20"/>
                <w:sz w:val="13"/>
                <w:szCs w:val="13"/>
              </w:rPr>
              <w:t xml:space="preserve">PRE-FILLED FROM OUR CALLS. PLEASE CORRECT ANYTHING THAT IS OFF:</w:t>
            </w:r>
          </w:p>
          <w:p>
            <w:pPr>
              <w:spacing w:after="120" w:before="0" w:line="264"/>
            </w:pPr>
            <w:r>
              <w:rPr>
                <w:rFonts w:ascii="Arial" w:cs="Arial" w:eastAsia="Arial" w:hAnsi="Arial"/>
                <w:color w:val="2d3741"/>
                <w:sz w:val="20"/>
                <w:szCs w:val="20"/>
              </w:rPr>
              <w:t xml:space="preserve">Mines ask for quotes for the whole year ahead, starting around November, and SAP cannot future-date them, which causes pain. Sales orders are raised on acceptance, with quarterly or monthly testing schedules. Part-shipments and back orders are rare at your volumes. Monthly quote and order counts: please fill in.</w:t>
            </w:r>
          </w:p>
          <w:p>
            <w:pPr>
              <w:spacing w:after="0" w:before="0" w:line="264"/>
            </w:pPr>
            <w:r>
              <w:rPr>
                <w:rFonts w:ascii="Arial" w:cs="Arial" w:eastAsia="Arial" w:hAnsi="Arial"/>
                <w:i/>
                <w:iCs/>
                <w:color w:val="97aaaa"/>
                <w:sz w:val="19"/>
                <w:szCs w:val="19"/>
              </w:rPr>
              <w:t xml:space="preserve">Your answer / corrections:</w:t>
            </w:r>
          </w:p>
          <w:p>
            <w:pPr>
              <w:spacing w:after="0" w:before="0" w:line="264"/>
            </w:pPr>
            <w:r>
              <w:rPr>
                <w:rFonts w:ascii="Arial" w:cs="Arial" w:eastAsia="Arial" w:hAnsi="Arial"/>
                <w:color w:val="2d3741"/>
                <w:sz w:val="20"/>
                <w:szCs w:val="20"/>
              </w:rPr>
              <w:t xml:space="preserve"> </w:t>
            </w:r>
          </w:p>
          <w:p>
            <w:pPr>
              <w:spacing w:after="0" w:before="0" w:line="264"/>
            </w:pPr>
            <w:r>
              <w:rPr>
                <w:rFonts w:ascii="Arial" w:cs="Arial" w:eastAsia="Arial" w:hAnsi="Arial"/>
                <w:color w:val="2d3741"/>
                <w:sz w:val="20"/>
                <w:szCs w:val="20"/>
              </w:rPr>
              <w:t xml:space="preserve"> </w:t>
            </w:r>
          </w:p>
          <w:p>
            <w:pPr>
              <w:spacing w:after="0" w:before="0" w:line="264"/>
            </w:pPr>
            <w:r>
              <w:rPr>
                <w:rFonts w:ascii="Arial" w:cs="Arial" w:eastAsia="Arial" w:hAnsi="Arial"/>
                <w:color w:val="2d3741"/>
                <w:sz w:val="20"/>
                <w:szCs w:val="20"/>
              </w:rPr>
              <w:t xml:space="preserve"> </w:t>
            </w:r>
          </w:p>
        </w:tc>
      </w:tr>
    </w:tbl>
    <w:p>
      <w:pPr>
        <w:spacing w:after="240"/>
      </w:pPr>
    </w:p>
    <w:tbl>
      <w:tblPr>
        <w:tblW w:type="dxa" w:w="9640"/>
        <w:tblBorders>
          <w:top w:val="single" w:color="e0dfdd" w:sz="4"/>
          <w:left w:val="single" w:color="e0dfdd" w:sz="4"/>
          <w:bottom w:val="single" w:color="e0dfdd" w:sz="4"/>
          <w:right w:val="single" w:color="e0dfdd" w:sz="4"/>
          <w:insideH w:val="single" w:color="e0dfdd" w:sz="4"/>
          <w:insideV w:val="single" w:color="e0dfdd" w:sz="4"/>
        </w:tblBorders>
      </w:tblPr>
      <w:tblGrid>
        <w:gridCol w:w="700"/>
        <w:gridCol w:w="8940"/>
      </w:tblGrid>
      <w:tr>
        <w:trPr>
          <w:cantSplit/>
        </w:trPr>
        <w:tc>
          <w:tcPr>
            <w:tcW w:type="dxa" w:w="700"/>
            <w:tcBorders>
              <w:top w:val="single" w:color="e0dfdd" w:sz="4"/>
              <w:left w:val="single" w:color="e0dfdd" w:sz="4"/>
              <w:bottom w:val="single" w:color="e0dfdd" w:sz="4"/>
              <w:right w:val="single" w:color="e0dfdd" w:sz="4"/>
            </w:tcBorders>
            <w:shd w:fill="2d3741" w:val="clear"/>
            <w:vAlign w:val="center"/>
          </w:tcPr>
          <w:p>
            <w:pPr>
              <w:jc w:val="center"/>
            </w:pPr>
            <w:r>
              <w:rPr>
                <w:rFonts w:ascii="Montserrat" w:cs="Montserrat" w:eastAsia="Montserrat" w:hAnsi="Montserrat"/>
                <w:b/>
                <w:bCs/>
                <w:color w:val="FFFFFF"/>
                <w:sz w:val="26"/>
                <w:szCs w:val="26"/>
              </w:rPr>
              <w:t xml:space="preserve">6</w:t>
            </w:r>
          </w:p>
        </w:tc>
        <w:tc>
          <w:tcPr>
            <w:tcW w:type="dxa" w:w="8940"/>
            <w:tcBorders>
              <w:top w:val="single" w:color="e0dfdd" w:sz="4"/>
              <w:left w:val="single" w:color="e0dfdd" w:sz="4"/>
              <w:bottom w:val="single" w:color="e0dfdd" w:sz="4"/>
              <w:right w:val="single" w:color="e0dfdd" w:sz="4"/>
            </w:tcBorders>
            <w:tcMar>
              <w:top w:type="dxa" w:w="120"/>
              <w:left w:type="dxa" w:w="200"/>
              <w:bottom w:type="dxa" w:w="120"/>
              <w:right w:type="dxa" w:w="200"/>
            </w:tcMar>
            <w:vAlign w:val="center"/>
          </w:tcPr>
          <w:p>
            <w:pPr>
              <w:spacing w:after="0" w:before="0" w:line="264"/>
            </w:pPr>
            <w:r>
              <w:rPr>
                <w:rFonts w:ascii="Arial" w:cs="Arial" w:eastAsia="Arial" w:hAnsi="Arial"/>
                <w:b/>
                <w:bCs/>
                <w:color w:val="2d3741"/>
                <w:sz w:val="21"/>
                <w:szCs w:val="21"/>
              </w:rPr>
              <w:t xml:space="preserve">When stock arrives from the UK, do you need freight, duty and clearing built into each item’s unit cost (landed cost), or is the supplier’s GBP invoice price a good enough cost for margin decisions?</w:t>
            </w:r>
          </w:p>
        </w:tc>
      </w:tr>
      <w:tr>
        <w:trPr>
          <w:cantSplit/>
        </w:trPr>
        <w:tc>
          <w:tcPr>
            <w:tcW w:type="dxa" w:w="700"/>
            <w:tcBorders>
              <w:top w:val="single" w:color="e0dfdd" w:sz="4"/>
              <w:left w:val="single" w:color="e0dfdd" w:sz="4"/>
              <w:bottom w:val="single" w:color="e0dfdd" w:sz="4"/>
              <w:right w:val="single" w:color="e0dfdd" w:sz="4"/>
            </w:tcBorders>
            <w:shd w:fill="faeeea" w:val="clear"/>
          </w:tcPr>
          <w:p>
            <w:pPr>
              <w:jc w:val="center"/>
            </w:pPr>
            <w:r>
              <w:rPr>
                <w:rFonts w:ascii="Montserrat" w:cs="Montserrat" w:eastAsia="Montserrat" w:hAnsi="Montserrat"/>
                <w:b/>
                <w:bCs/>
                <w:color w:val="dd7353"/>
                <w:sz w:val="13"/>
                <w:szCs w:val="13"/>
              </w:rPr>
              <w:t xml:space="preserve">WHY</w:t>
            </w:r>
          </w:p>
        </w:tc>
        <w:tc>
          <w:tcPr>
            <w:tcW w:type="dxa" w:w="8940"/>
            <w:tcBorders>
              <w:top w:val="single" w:color="e0dfdd" w:sz="4"/>
              <w:left w:val="single" w:color="e0dfdd" w:sz="4"/>
              <w:bottom w:val="single" w:color="e0dfdd" w:sz="4"/>
              <w:right w:val="single" w:color="e0dfdd" w:sz="4"/>
            </w:tcBorders>
            <w:shd w:fill="faeeea" w:val="clear"/>
            <w:tcMar>
              <w:top w:type="dxa" w:w="100"/>
              <w:left w:type="dxa" w:w="200"/>
              <w:bottom w:type="dxa" w:w="100"/>
              <w:right w:type="dxa" w:w="200"/>
            </w:tcMar>
          </w:tcPr>
          <w:p>
            <w:pPr>
              <w:spacing w:after="0" w:before="0" w:line="264"/>
            </w:pPr>
            <w:r>
              <w:rPr>
                <w:rFonts w:ascii="Arial" w:cs="Arial" w:eastAsia="Arial" w:hAnsi="Arial"/>
                <w:color w:val="607a80"/>
                <w:sz w:val="19"/>
                <w:szCs w:val="19"/>
              </w:rPr>
              <w:t xml:space="preserve">You asked for a landed cost view on the 10 June call. Cin7 does landed costing properly; Xero does not do it natively. If this is a hard requirement, it is a strong point for Cin7.</w:t>
            </w:r>
          </w:p>
        </w:tc>
      </w:tr>
      <w:tr>
        <w:trPr>
          <w:cantSplit/>
        </w:trPr>
        <w:tc>
          <w:tcPr>
            <w:tcW w:type="dxa" w:w="700"/>
            <w:tcBorders>
              <w:top w:val="single" w:color="e0dfdd" w:sz="4"/>
              <w:left w:val="single" w:color="e0dfdd" w:sz="4"/>
              <w:bottom w:val="single" w:color="e0dfdd" w:sz="4"/>
              <w:right w:val="single" w:color="e0dfdd" w:sz="4"/>
            </w:tcBorders>
            <w:shd w:fill="fbf7ec" w:val="clear"/>
          </w:tcPr>
          <w:p>
            <w:pPr>
              <w:jc w:val="center"/>
            </w:pPr>
            <w:r>
              <w:rPr>
                <w:rFonts w:ascii="Montserrat" w:cs="Montserrat" w:eastAsia="Montserrat" w:hAnsi="Montserrat"/>
                <w:b/>
                <w:bCs/>
                <w:color w:val="607a80"/>
                <w:sz w:val="13"/>
                <w:szCs w:val="13"/>
              </w:rPr>
              <w:t xml:space="preserve">A</w:t>
            </w:r>
          </w:p>
        </w:tc>
        <w:tc>
          <w:tcPr>
            <w:tcW w:type="dxa" w:w="8940"/>
            <w:tcBorders>
              <w:top w:val="single" w:color="e0dfdd" w:sz="4"/>
              <w:left w:val="single" w:color="e0dfdd" w:sz="4"/>
              <w:bottom w:val="single" w:color="e0dfdd" w:sz="4"/>
              <w:right w:val="single" w:color="e0dfdd" w:sz="4"/>
            </w:tcBorders>
            <w:shd w:fill="fbf7ec" w:val="clear"/>
            <w:tcMar>
              <w:top w:type="dxa" w:w="100"/>
              <w:left w:type="dxa" w:w="200"/>
              <w:bottom w:type="dxa" w:w="100"/>
              <w:right w:type="dxa" w:w="200"/>
            </w:tcMar>
          </w:tcPr>
          <w:p>
            <w:pPr>
              <w:spacing w:after="60" w:before="0" w:line="264"/>
            </w:pPr>
            <w:r>
              <w:rPr>
                <w:rFonts w:ascii="Montserrat" w:cs="Montserrat" w:eastAsia="Montserrat" w:hAnsi="Montserrat"/>
                <w:b/>
                <w:bCs/>
                <w:color w:val="607a80"/>
                <w:spacing w:val="20"/>
                <w:sz w:val="13"/>
                <w:szCs w:val="13"/>
              </w:rPr>
              <w:t xml:space="preserve">PRE-FILLED FROM OUR CALLS. PLEASE CORRECT ANYTHING THAT IS OFF:</w:t>
            </w:r>
          </w:p>
          <w:p>
            <w:pPr>
              <w:spacing w:after="120" w:before="0" w:line="264"/>
            </w:pPr>
            <w:r>
              <w:rPr>
                <w:rFonts w:ascii="Arial" w:cs="Arial" w:eastAsia="Arial" w:hAnsi="Arial"/>
                <w:color w:val="2d3741"/>
                <w:sz w:val="20"/>
                <w:szCs w:val="20"/>
              </w:rPr>
              <w:t xml:space="preserve">You raise POs on the UK parent (GBP, 30-day terms) and Gavin handles local procurement. Selling prices are checked manually against a target margin of roughly 40%. Today freight and duty are not loaded into item costs, but on 10 June the team confirmed wanting shipping and import costs captured against stock in the new setup.</w:t>
            </w:r>
          </w:p>
          <w:p>
            <w:pPr>
              <w:spacing w:after="0" w:before="0" w:line="264"/>
            </w:pPr>
            <w:r>
              <w:rPr>
                <w:rFonts w:ascii="Arial" w:cs="Arial" w:eastAsia="Arial" w:hAnsi="Arial"/>
                <w:i/>
                <w:iCs/>
                <w:color w:val="97aaaa"/>
                <w:sz w:val="19"/>
                <w:szCs w:val="19"/>
              </w:rPr>
              <w:t xml:space="preserve">Your answer / corrections:</w:t>
            </w:r>
          </w:p>
          <w:p>
            <w:pPr>
              <w:spacing w:after="0" w:before="0" w:line="264"/>
            </w:pPr>
            <w:r>
              <w:rPr>
                <w:rFonts w:ascii="Arial" w:cs="Arial" w:eastAsia="Arial" w:hAnsi="Arial"/>
                <w:color w:val="2d3741"/>
                <w:sz w:val="20"/>
                <w:szCs w:val="20"/>
              </w:rPr>
              <w:t xml:space="preserve"> </w:t>
            </w:r>
          </w:p>
          <w:p>
            <w:pPr>
              <w:spacing w:after="0" w:before="0" w:line="264"/>
            </w:pPr>
            <w:r>
              <w:rPr>
                <w:rFonts w:ascii="Arial" w:cs="Arial" w:eastAsia="Arial" w:hAnsi="Arial"/>
                <w:color w:val="2d3741"/>
                <w:sz w:val="20"/>
                <w:szCs w:val="20"/>
              </w:rPr>
              <w:t xml:space="preserve"> </w:t>
            </w:r>
          </w:p>
          <w:p>
            <w:pPr>
              <w:spacing w:after="0" w:before="0" w:line="264"/>
            </w:pPr>
            <w:r>
              <w:rPr>
                <w:rFonts w:ascii="Arial" w:cs="Arial" w:eastAsia="Arial" w:hAnsi="Arial"/>
                <w:color w:val="2d3741"/>
                <w:sz w:val="20"/>
                <w:szCs w:val="20"/>
              </w:rPr>
              <w:t xml:space="preserve"> </w:t>
            </w:r>
          </w:p>
        </w:tc>
      </w:tr>
    </w:tbl>
    <w:p>
      <w:pPr>
        <w:spacing w:after="240"/>
      </w:pPr>
    </w:p>
    <w:tbl>
      <w:tblPr>
        <w:tblW w:type="dxa" w:w="9640"/>
        <w:tblBorders>
          <w:top w:val="single" w:color="e0dfdd" w:sz="4"/>
          <w:left w:val="single" w:color="e0dfdd" w:sz="4"/>
          <w:bottom w:val="single" w:color="e0dfdd" w:sz="4"/>
          <w:right w:val="single" w:color="e0dfdd" w:sz="4"/>
          <w:insideH w:val="single" w:color="e0dfdd" w:sz="4"/>
          <w:insideV w:val="single" w:color="e0dfdd" w:sz="4"/>
        </w:tblBorders>
      </w:tblPr>
      <w:tblGrid>
        <w:gridCol w:w="700"/>
        <w:gridCol w:w="8940"/>
      </w:tblGrid>
      <w:tr>
        <w:trPr>
          <w:cantSplit/>
        </w:trPr>
        <w:tc>
          <w:tcPr>
            <w:tcW w:type="dxa" w:w="700"/>
            <w:tcBorders>
              <w:top w:val="single" w:color="e0dfdd" w:sz="4"/>
              <w:left w:val="single" w:color="e0dfdd" w:sz="4"/>
              <w:bottom w:val="single" w:color="e0dfdd" w:sz="4"/>
              <w:right w:val="single" w:color="e0dfdd" w:sz="4"/>
            </w:tcBorders>
            <w:shd w:fill="2d3741" w:val="clear"/>
            <w:vAlign w:val="center"/>
          </w:tcPr>
          <w:p>
            <w:pPr>
              <w:jc w:val="center"/>
            </w:pPr>
            <w:r>
              <w:rPr>
                <w:rFonts w:ascii="Montserrat" w:cs="Montserrat" w:eastAsia="Montserrat" w:hAnsi="Montserrat"/>
                <w:b/>
                <w:bCs/>
                <w:color w:val="FFFFFF"/>
                <w:sz w:val="26"/>
                <w:szCs w:val="26"/>
              </w:rPr>
              <w:t xml:space="preserve">7</w:t>
            </w:r>
          </w:p>
        </w:tc>
        <w:tc>
          <w:tcPr>
            <w:tcW w:type="dxa" w:w="8940"/>
            <w:tcBorders>
              <w:top w:val="single" w:color="e0dfdd" w:sz="4"/>
              <w:left w:val="single" w:color="e0dfdd" w:sz="4"/>
              <w:bottom w:val="single" w:color="e0dfdd" w:sz="4"/>
              <w:right w:val="single" w:color="e0dfdd" w:sz="4"/>
            </w:tcBorders>
            <w:tcMar>
              <w:top w:type="dxa" w:w="120"/>
              <w:left w:type="dxa" w:w="200"/>
              <w:bottom w:type="dxa" w:w="120"/>
              <w:right w:type="dxa" w:w="200"/>
            </w:tcMar>
            <w:vAlign w:val="center"/>
          </w:tcPr>
          <w:p>
            <w:pPr>
              <w:spacing w:after="0" w:before="0" w:line="264"/>
            </w:pPr>
            <w:r>
              <w:rPr>
                <w:rFonts w:ascii="Arial" w:cs="Arial" w:eastAsia="Arial" w:hAnsi="Arial"/>
                <w:b/>
                <w:bCs/>
                <w:color w:val="2d3741"/>
                <w:sz w:val="21"/>
                <w:szCs w:val="21"/>
              </w:rPr>
              <w:t xml:space="preserve">Reordering and stock-takes: do you want the system to hold minimum stock levels and flag reorders, and should it run your stock counts (count sheets, variances, adjustments), or is a quarterly spreadsheet count with one adjustment acceptable?</w:t>
            </w:r>
          </w:p>
        </w:tc>
      </w:tr>
      <w:tr>
        <w:trPr>
          <w:cantSplit/>
        </w:trPr>
        <w:tc>
          <w:tcPr>
            <w:tcW w:type="dxa" w:w="700"/>
            <w:tcBorders>
              <w:top w:val="single" w:color="e0dfdd" w:sz="4"/>
              <w:left w:val="single" w:color="e0dfdd" w:sz="4"/>
              <w:bottom w:val="single" w:color="e0dfdd" w:sz="4"/>
              <w:right w:val="single" w:color="e0dfdd" w:sz="4"/>
            </w:tcBorders>
            <w:shd w:fill="faeeea" w:val="clear"/>
          </w:tcPr>
          <w:p>
            <w:pPr>
              <w:jc w:val="center"/>
            </w:pPr>
            <w:r>
              <w:rPr>
                <w:rFonts w:ascii="Montserrat" w:cs="Montserrat" w:eastAsia="Montserrat" w:hAnsi="Montserrat"/>
                <w:b/>
                <w:bCs/>
                <w:color w:val="dd7353"/>
                <w:sz w:val="13"/>
                <w:szCs w:val="13"/>
              </w:rPr>
              <w:t xml:space="preserve">WHY</w:t>
            </w:r>
          </w:p>
        </w:tc>
        <w:tc>
          <w:tcPr>
            <w:tcW w:type="dxa" w:w="8940"/>
            <w:tcBorders>
              <w:top w:val="single" w:color="e0dfdd" w:sz="4"/>
              <w:left w:val="single" w:color="e0dfdd" w:sz="4"/>
              <w:bottom w:val="single" w:color="e0dfdd" w:sz="4"/>
              <w:right w:val="single" w:color="e0dfdd" w:sz="4"/>
            </w:tcBorders>
            <w:shd w:fill="faeeea" w:val="clear"/>
            <w:tcMar>
              <w:top w:type="dxa" w:w="100"/>
              <w:left w:type="dxa" w:w="200"/>
              <w:bottom w:type="dxa" w:w="100"/>
              <w:right w:type="dxa" w:w="200"/>
            </w:tcMar>
          </w:tcPr>
          <w:p>
            <w:pPr>
              <w:spacing w:after="0" w:before="0" w:line="264"/>
            </w:pPr>
            <w:r>
              <w:rPr>
                <w:rFonts w:ascii="Arial" w:cs="Arial" w:eastAsia="Arial" w:hAnsi="Arial"/>
                <w:color w:val="607a80"/>
                <w:sz w:val="19"/>
                <w:szCs w:val="19"/>
              </w:rPr>
              <w:t xml:space="preserve">Reorder points and guided stock-takes are Cin7 strengths that Xero mostly lacks. If reordering stays on experience and counts stay simple, this drops out of the decision.</w:t>
            </w:r>
          </w:p>
        </w:tc>
      </w:tr>
      <w:tr>
        <w:trPr>
          <w:cantSplit/>
        </w:trPr>
        <w:tc>
          <w:tcPr>
            <w:tcW w:type="dxa" w:w="700"/>
            <w:tcBorders>
              <w:top w:val="single" w:color="e0dfdd" w:sz="4"/>
              <w:left w:val="single" w:color="e0dfdd" w:sz="4"/>
              <w:bottom w:val="single" w:color="e0dfdd" w:sz="4"/>
              <w:right w:val="single" w:color="e0dfdd" w:sz="4"/>
            </w:tcBorders>
            <w:shd w:fill="fbf7ec" w:val="clear"/>
          </w:tcPr>
          <w:p>
            <w:pPr>
              <w:jc w:val="center"/>
            </w:pPr>
            <w:r>
              <w:rPr>
                <w:rFonts w:ascii="Montserrat" w:cs="Montserrat" w:eastAsia="Montserrat" w:hAnsi="Montserrat"/>
                <w:b/>
                <w:bCs/>
                <w:color w:val="607a80"/>
                <w:sz w:val="13"/>
                <w:szCs w:val="13"/>
              </w:rPr>
              <w:t xml:space="preserve">A</w:t>
            </w:r>
          </w:p>
        </w:tc>
        <w:tc>
          <w:tcPr>
            <w:tcW w:type="dxa" w:w="8940"/>
            <w:tcBorders>
              <w:top w:val="single" w:color="e0dfdd" w:sz="4"/>
              <w:left w:val="single" w:color="e0dfdd" w:sz="4"/>
              <w:bottom w:val="single" w:color="e0dfdd" w:sz="4"/>
              <w:right w:val="single" w:color="e0dfdd" w:sz="4"/>
            </w:tcBorders>
            <w:shd w:fill="fbf7ec" w:val="clear"/>
            <w:tcMar>
              <w:top w:type="dxa" w:w="100"/>
              <w:left w:type="dxa" w:w="200"/>
              <w:bottom w:type="dxa" w:w="100"/>
              <w:right w:type="dxa" w:w="200"/>
            </w:tcMar>
          </w:tcPr>
          <w:p>
            <w:pPr>
              <w:spacing w:after="60" w:before="0" w:line="264"/>
            </w:pPr>
            <w:r>
              <w:rPr>
                <w:rFonts w:ascii="Montserrat" w:cs="Montserrat" w:eastAsia="Montserrat" w:hAnsi="Montserrat"/>
                <w:b/>
                <w:bCs/>
                <w:color w:val="607a80"/>
                <w:spacing w:val="20"/>
                <w:sz w:val="13"/>
                <w:szCs w:val="13"/>
              </w:rPr>
              <w:t xml:space="preserve">PRE-FILLED FROM OUR CALLS. PLEASE CORRECT ANYTHING THAT IS OFF:</w:t>
            </w:r>
          </w:p>
          <w:p>
            <w:pPr>
              <w:spacing w:after="120" w:before="0" w:line="264"/>
            </w:pPr>
            <w:r>
              <w:rPr>
                <w:rFonts w:ascii="Arial" w:cs="Arial" w:eastAsia="Arial" w:hAnsi="Arial"/>
                <w:color w:val="2d3741"/>
                <w:sz w:val="20"/>
                <w:szCs w:val="20"/>
              </w:rPr>
              <w:t xml:space="preserve">Claire reorders from experience, with no reorder points or low-stock alerts in SAP. One full count a year today, moving to quarterly on our recommendation. With 50 to 80 lines in one warehouse, a spreadsheet count is very manageable either way.</w:t>
            </w:r>
          </w:p>
          <w:p>
            <w:pPr>
              <w:spacing w:after="0" w:before="0" w:line="264"/>
            </w:pPr>
            <w:r>
              <w:rPr>
                <w:rFonts w:ascii="Arial" w:cs="Arial" w:eastAsia="Arial" w:hAnsi="Arial"/>
                <w:i/>
                <w:iCs/>
                <w:color w:val="97aaaa"/>
                <w:sz w:val="19"/>
                <w:szCs w:val="19"/>
              </w:rPr>
              <w:t xml:space="preserve">Your answer / corrections:</w:t>
            </w:r>
          </w:p>
          <w:p>
            <w:pPr>
              <w:spacing w:after="0" w:before="0" w:line="264"/>
            </w:pPr>
            <w:r>
              <w:rPr>
                <w:rFonts w:ascii="Arial" w:cs="Arial" w:eastAsia="Arial" w:hAnsi="Arial"/>
                <w:color w:val="2d3741"/>
                <w:sz w:val="20"/>
                <w:szCs w:val="20"/>
              </w:rPr>
              <w:t xml:space="preserve"> </w:t>
            </w:r>
          </w:p>
          <w:p>
            <w:pPr>
              <w:spacing w:after="0" w:before="0" w:line="264"/>
            </w:pPr>
            <w:r>
              <w:rPr>
                <w:rFonts w:ascii="Arial" w:cs="Arial" w:eastAsia="Arial" w:hAnsi="Arial"/>
                <w:color w:val="2d3741"/>
                <w:sz w:val="20"/>
                <w:szCs w:val="20"/>
              </w:rPr>
              <w:t xml:space="preserve"> </w:t>
            </w:r>
          </w:p>
          <w:p>
            <w:pPr>
              <w:spacing w:after="0" w:before="0" w:line="264"/>
            </w:pPr>
            <w:r>
              <w:rPr>
                <w:rFonts w:ascii="Arial" w:cs="Arial" w:eastAsia="Arial" w:hAnsi="Arial"/>
                <w:color w:val="2d3741"/>
                <w:sz w:val="20"/>
                <w:szCs w:val="20"/>
              </w:rPr>
              <w:t xml:space="preserve"> </w:t>
            </w:r>
          </w:p>
        </w:tc>
      </w:tr>
    </w:tbl>
    <w:p>
      <w:pPr>
        <w:spacing w:after="240"/>
      </w:pPr>
    </w:p>
    <w:tbl>
      <w:tblPr>
        <w:tblW w:type="dxa" w:w="9640"/>
        <w:tblBorders>
          <w:top w:val="none" w:color="FFFFFF" w:sz="0"/>
          <w:left w:val="none" w:color="FFFFFF" w:sz="0"/>
          <w:bottom w:val="none" w:color="FFFFFF" w:sz="0"/>
          <w:right w:val="none" w:color="FFFFFF" w:sz="0"/>
          <w:insideH w:val="none" w:color="FFFFFF" w:sz="0"/>
          <w:insideV w:val="none" w:color="FFFFFF" w:sz="0"/>
        </w:tblBorders>
      </w:tblPr>
      <w:tblGrid>
        <w:gridCol w:w="700"/>
        <w:gridCol w:w="8940"/>
      </w:tblGrid>
      <w:tr>
        <w:tc>
          <w:tcPr>
            <w:tcW w:type="dxa" w:w="700"/>
            <w:shd w:fill="2d3741" w:val="clear"/>
            <w:tcMar>
              <w:top w:type="dxa" w:w="120"/>
              <w:bottom w:type="dxa" w:w="120"/>
            </w:tcMar>
            <w:vAlign w:val="center"/>
          </w:tcPr>
          <w:p>
            <w:pPr>
              <w:jc w:val="center"/>
            </w:pPr>
            <w:r>
              <w:rPr>
                <w:rFonts w:ascii="Montserrat" w:cs="Montserrat" w:eastAsia="Montserrat" w:hAnsi="Montserrat"/>
                <w:b/>
                <w:bCs/>
                <w:color w:val="FFFFFF"/>
                <w:sz w:val="40"/>
                <w:szCs w:val="40"/>
              </w:rPr>
              <w:t xml:space="preserve">P</w:t>
            </w:r>
          </w:p>
        </w:tc>
        <w:tc>
          <w:tcPr>
            <w:tcW w:type="dxa" w:w="8940"/>
            <w:tcMar>
              <w:top w:type="dxa" w:w="80"/>
              <w:left w:type="dxa" w:w="200"/>
              <w:bottom w:type="dxa" w:w="80"/>
            </w:tcMar>
            <w:vAlign w:val="center"/>
          </w:tcPr>
          <w:p>
            <w:pPr>
              <w:spacing w:after="40" w:before="0" w:line="264"/>
            </w:pPr>
            <w:r>
              <w:rPr>
                <w:rFonts w:ascii="Montserrat" w:cs="Montserrat" w:eastAsia="Montserrat" w:hAnsi="Montserrat"/>
                <w:b/>
                <w:bCs/>
                <w:color w:val="2d3741"/>
                <w:sz w:val="24"/>
                <w:szCs w:val="24"/>
              </w:rPr>
              <w:t xml:space="preserve">Patrick Freeme, with Gavin</w:t>
            </w:r>
          </w:p>
          <w:p>
            <w:pPr>
              <w:spacing w:after="0" w:before="0" w:line="264"/>
            </w:pPr>
            <w:r>
              <w:rPr>
                <w:rFonts w:ascii="Arial" w:cs="Arial" w:eastAsia="Arial" w:hAnsi="Arial"/>
                <w:b/>
                <w:bCs/>
                <w:color w:val="607a80"/>
                <w:spacing w:val="30"/>
                <w:sz w:val="16"/>
                <w:szCs w:val="16"/>
              </w:rPr>
              <w:t xml:space="preserve">MD AND CONTRACTS  .  CONTRACT BILLING, PRICING AND CRM</w:t>
            </w:r>
          </w:p>
        </w:tc>
      </w:tr>
    </w:tbl>
    <w:p>
      <w:pPr>
        <w:spacing w:after="160"/>
      </w:pPr>
    </w:p>
    <w:tbl>
      <w:tblPr>
        <w:tblW w:type="dxa" w:w="9640"/>
        <w:tblBorders>
          <w:top w:val="single" w:color="e0dfdd" w:sz="4"/>
          <w:left w:val="single" w:color="e0dfdd" w:sz="4"/>
          <w:bottom w:val="single" w:color="e0dfdd" w:sz="4"/>
          <w:right w:val="single" w:color="e0dfdd" w:sz="4"/>
          <w:insideH w:val="single" w:color="e0dfdd" w:sz="4"/>
          <w:insideV w:val="single" w:color="e0dfdd" w:sz="4"/>
        </w:tblBorders>
      </w:tblPr>
      <w:tblGrid>
        <w:gridCol w:w="700"/>
        <w:gridCol w:w="8940"/>
      </w:tblGrid>
      <w:tr>
        <w:trPr>
          <w:cantSplit/>
        </w:trPr>
        <w:tc>
          <w:tcPr>
            <w:tcW w:type="dxa" w:w="700"/>
            <w:tcBorders>
              <w:top w:val="single" w:color="e0dfdd" w:sz="4"/>
              <w:left w:val="single" w:color="e0dfdd" w:sz="4"/>
              <w:bottom w:val="single" w:color="e0dfdd" w:sz="4"/>
              <w:right w:val="single" w:color="e0dfdd" w:sz="4"/>
            </w:tcBorders>
            <w:shd w:fill="2d3741" w:val="clear"/>
            <w:vAlign w:val="center"/>
          </w:tcPr>
          <w:p>
            <w:pPr>
              <w:jc w:val="center"/>
            </w:pPr>
            <w:r>
              <w:rPr>
                <w:rFonts w:ascii="Montserrat" w:cs="Montserrat" w:eastAsia="Montserrat" w:hAnsi="Montserrat"/>
                <w:b/>
                <w:bCs/>
                <w:color w:val="FFFFFF"/>
                <w:sz w:val="26"/>
                <w:szCs w:val="26"/>
              </w:rPr>
              <w:t xml:space="preserve">8</w:t>
            </w:r>
          </w:p>
        </w:tc>
        <w:tc>
          <w:tcPr>
            <w:tcW w:type="dxa" w:w="8940"/>
            <w:tcBorders>
              <w:top w:val="single" w:color="e0dfdd" w:sz="4"/>
              <w:left w:val="single" w:color="e0dfdd" w:sz="4"/>
              <w:bottom w:val="single" w:color="e0dfdd" w:sz="4"/>
              <w:right w:val="single" w:color="e0dfdd" w:sz="4"/>
            </w:tcBorders>
            <w:tcMar>
              <w:top w:type="dxa" w:w="120"/>
              <w:left w:type="dxa" w:w="200"/>
              <w:bottom w:type="dxa" w:w="120"/>
              <w:right w:type="dxa" w:w="200"/>
            </w:tcMar>
            <w:vAlign w:val="center"/>
          </w:tcPr>
          <w:p>
            <w:pPr>
              <w:spacing w:after="0" w:before="0" w:line="264"/>
            </w:pPr>
            <w:r>
              <w:rPr>
                <w:rFonts w:ascii="Arial" w:cs="Arial" w:eastAsia="Arial" w:hAnsi="Arial"/>
                <w:b/>
                <w:bCs/>
                <w:color w:val="2d3741"/>
                <w:sz w:val="21"/>
                <w:szCs w:val="21"/>
              </w:rPr>
              <w:t xml:space="preserve">Contract billing: how many invoices go out in a typical month across the ~100 mine contracts, and should contract pricing (baseline plus annual inflation adjustments) live inside the new system per mine, or stay on Gavin’s records with prices entered on each quote?</w:t>
            </w:r>
          </w:p>
        </w:tc>
      </w:tr>
      <w:tr>
        <w:trPr>
          <w:cantSplit/>
        </w:trPr>
        <w:tc>
          <w:tcPr>
            <w:tcW w:type="dxa" w:w="700"/>
            <w:tcBorders>
              <w:top w:val="single" w:color="e0dfdd" w:sz="4"/>
              <w:left w:val="single" w:color="e0dfdd" w:sz="4"/>
              <w:bottom w:val="single" w:color="e0dfdd" w:sz="4"/>
              <w:right w:val="single" w:color="e0dfdd" w:sz="4"/>
            </w:tcBorders>
            <w:shd w:fill="faeeea" w:val="clear"/>
          </w:tcPr>
          <w:p>
            <w:pPr>
              <w:jc w:val="center"/>
            </w:pPr>
            <w:r>
              <w:rPr>
                <w:rFonts w:ascii="Montserrat" w:cs="Montserrat" w:eastAsia="Montserrat" w:hAnsi="Montserrat"/>
                <w:b/>
                <w:bCs/>
                <w:color w:val="dd7353"/>
                <w:sz w:val="13"/>
                <w:szCs w:val="13"/>
              </w:rPr>
              <w:t xml:space="preserve">WHY</w:t>
            </w:r>
          </w:p>
        </w:tc>
        <w:tc>
          <w:tcPr>
            <w:tcW w:type="dxa" w:w="8940"/>
            <w:tcBorders>
              <w:top w:val="single" w:color="e0dfdd" w:sz="4"/>
              <w:left w:val="single" w:color="e0dfdd" w:sz="4"/>
              <w:bottom w:val="single" w:color="e0dfdd" w:sz="4"/>
              <w:right w:val="single" w:color="e0dfdd" w:sz="4"/>
            </w:tcBorders>
            <w:shd w:fill="faeeea" w:val="clear"/>
            <w:tcMar>
              <w:top w:type="dxa" w:w="100"/>
              <w:left w:type="dxa" w:w="200"/>
              <w:bottom w:type="dxa" w:w="100"/>
              <w:right w:type="dxa" w:w="200"/>
            </w:tcMar>
          </w:tcPr>
          <w:p>
            <w:pPr>
              <w:spacing w:after="0" w:before="0" w:line="264"/>
            </w:pPr>
            <w:r>
              <w:rPr>
                <w:rFonts w:ascii="Arial" w:cs="Arial" w:eastAsia="Arial" w:hAnsi="Arial"/>
                <w:color w:val="607a80"/>
                <w:sz w:val="19"/>
                <w:szCs w:val="19"/>
              </w:rPr>
              <w:t xml:space="preserve">If most revenue is recurring service billing with no stock movement, Xero repeating invoices cover it without Cin7. If contract pricing must live in the system per customer, Cin7 price tiers do that and Xero does not.</w:t>
            </w:r>
          </w:p>
        </w:tc>
      </w:tr>
      <w:tr>
        <w:trPr>
          <w:cantSplit/>
        </w:trPr>
        <w:tc>
          <w:tcPr>
            <w:tcW w:type="dxa" w:w="700"/>
            <w:tcBorders>
              <w:top w:val="single" w:color="e0dfdd" w:sz="4"/>
              <w:left w:val="single" w:color="e0dfdd" w:sz="4"/>
              <w:bottom w:val="single" w:color="e0dfdd" w:sz="4"/>
              <w:right w:val="single" w:color="e0dfdd" w:sz="4"/>
            </w:tcBorders>
            <w:shd w:fill="fbf7ec" w:val="clear"/>
          </w:tcPr>
          <w:p>
            <w:pPr>
              <w:jc w:val="center"/>
            </w:pPr>
            <w:r>
              <w:rPr>
                <w:rFonts w:ascii="Montserrat" w:cs="Montserrat" w:eastAsia="Montserrat" w:hAnsi="Montserrat"/>
                <w:b/>
                <w:bCs/>
                <w:color w:val="607a80"/>
                <w:sz w:val="13"/>
                <w:szCs w:val="13"/>
              </w:rPr>
              <w:t xml:space="preserve">A</w:t>
            </w:r>
          </w:p>
        </w:tc>
        <w:tc>
          <w:tcPr>
            <w:tcW w:type="dxa" w:w="8940"/>
            <w:tcBorders>
              <w:top w:val="single" w:color="e0dfdd" w:sz="4"/>
              <w:left w:val="single" w:color="e0dfdd" w:sz="4"/>
              <w:bottom w:val="single" w:color="e0dfdd" w:sz="4"/>
              <w:right w:val="single" w:color="e0dfdd" w:sz="4"/>
            </w:tcBorders>
            <w:shd w:fill="fbf7ec" w:val="clear"/>
            <w:tcMar>
              <w:top w:type="dxa" w:w="100"/>
              <w:left w:type="dxa" w:w="200"/>
              <w:bottom w:type="dxa" w:w="100"/>
              <w:right w:type="dxa" w:w="200"/>
            </w:tcMar>
          </w:tcPr>
          <w:p>
            <w:pPr>
              <w:spacing w:after="60" w:before="0" w:line="264"/>
            </w:pPr>
            <w:r>
              <w:rPr>
                <w:rFonts w:ascii="Montserrat" w:cs="Montserrat" w:eastAsia="Montserrat" w:hAnsi="Montserrat"/>
                <w:b/>
                <w:bCs/>
                <w:color w:val="607a80"/>
                <w:spacing w:val="20"/>
                <w:sz w:val="13"/>
                <w:szCs w:val="13"/>
              </w:rPr>
              <w:t xml:space="preserve">PRE-FILLED FROM OUR CALLS. PLEASE CORRECT ANYTHING THAT IS OFF:</w:t>
            </w:r>
          </w:p>
          <w:p>
            <w:pPr>
              <w:spacing w:after="120" w:before="0" w:line="264"/>
            </w:pPr>
            <w:r>
              <w:rPr>
                <w:rFonts w:ascii="Arial" w:cs="Arial" w:eastAsia="Arial" w:hAnsi="Arial"/>
                <w:color w:val="2d3741"/>
                <w:sz w:val="20"/>
                <w:szCs w:val="20"/>
              </w:rPr>
              <w:t xml:space="preserve">Around 100 mines are billed monthly, mostly fixed fees set in the annual quote, with South Deep billed by working days excluding public holidays. Large mining contracts run on decades-old baselines with annual inflation adjustments, tracked by Gavin from history rather than in SAP. One price list applies to everyone else, with ad hoc manual adjustments on quotes.</w:t>
            </w:r>
          </w:p>
          <w:p>
            <w:pPr>
              <w:spacing w:after="0" w:before="0" w:line="264"/>
            </w:pPr>
            <w:r>
              <w:rPr>
                <w:rFonts w:ascii="Arial" w:cs="Arial" w:eastAsia="Arial" w:hAnsi="Arial"/>
                <w:i/>
                <w:iCs/>
                <w:color w:val="97aaaa"/>
                <w:sz w:val="19"/>
                <w:szCs w:val="19"/>
              </w:rPr>
              <w:t xml:space="preserve">Your answer / corrections:</w:t>
            </w:r>
          </w:p>
          <w:p>
            <w:pPr>
              <w:spacing w:after="0" w:before="0" w:line="264"/>
            </w:pPr>
            <w:r>
              <w:rPr>
                <w:rFonts w:ascii="Arial" w:cs="Arial" w:eastAsia="Arial" w:hAnsi="Arial"/>
                <w:color w:val="2d3741"/>
                <w:sz w:val="20"/>
                <w:szCs w:val="20"/>
              </w:rPr>
              <w:t xml:space="preserve"> </w:t>
            </w:r>
          </w:p>
          <w:p>
            <w:pPr>
              <w:spacing w:after="0" w:before="0" w:line="264"/>
            </w:pPr>
            <w:r>
              <w:rPr>
                <w:rFonts w:ascii="Arial" w:cs="Arial" w:eastAsia="Arial" w:hAnsi="Arial"/>
                <w:color w:val="2d3741"/>
                <w:sz w:val="20"/>
                <w:szCs w:val="20"/>
              </w:rPr>
              <w:t xml:space="preserve"> </w:t>
            </w:r>
          </w:p>
          <w:p>
            <w:pPr>
              <w:spacing w:after="0" w:before="0" w:line="264"/>
            </w:pPr>
            <w:r>
              <w:rPr>
                <w:rFonts w:ascii="Arial" w:cs="Arial" w:eastAsia="Arial" w:hAnsi="Arial"/>
                <w:color w:val="2d3741"/>
                <w:sz w:val="20"/>
                <w:szCs w:val="20"/>
              </w:rPr>
              <w:t xml:space="preserve"> </w:t>
            </w:r>
          </w:p>
        </w:tc>
      </w:tr>
    </w:tbl>
    <w:p>
      <w:pPr>
        <w:spacing w:after="240"/>
      </w:pPr>
    </w:p>
    <w:tbl>
      <w:tblPr>
        <w:tblW w:type="dxa" w:w="9640"/>
        <w:tblBorders>
          <w:top w:val="single" w:color="e0dfdd" w:sz="4"/>
          <w:left w:val="single" w:color="e0dfdd" w:sz="4"/>
          <w:bottom w:val="single" w:color="e0dfdd" w:sz="4"/>
          <w:right w:val="single" w:color="e0dfdd" w:sz="4"/>
          <w:insideH w:val="single" w:color="e0dfdd" w:sz="4"/>
          <w:insideV w:val="single" w:color="e0dfdd" w:sz="4"/>
        </w:tblBorders>
      </w:tblPr>
      <w:tblGrid>
        <w:gridCol w:w="700"/>
        <w:gridCol w:w="8940"/>
      </w:tblGrid>
      <w:tr>
        <w:trPr>
          <w:cantSplit/>
        </w:trPr>
        <w:tc>
          <w:tcPr>
            <w:tcW w:type="dxa" w:w="700"/>
            <w:tcBorders>
              <w:top w:val="single" w:color="e0dfdd" w:sz="4"/>
              <w:left w:val="single" w:color="e0dfdd" w:sz="4"/>
              <w:bottom w:val="single" w:color="e0dfdd" w:sz="4"/>
              <w:right w:val="single" w:color="e0dfdd" w:sz="4"/>
            </w:tcBorders>
            <w:shd w:fill="2d3741" w:val="clear"/>
            <w:vAlign w:val="center"/>
          </w:tcPr>
          <w:p>
            <w:pPr>
              <w:jc w:val="center"/>
            </w:pPr>
            <w:r>
              <w:rPr>
                <w:rFonts w:ascii="Montserrat" w:cs="Montserrat" w:eastAsia="Montserrat" w:hAnsi="Montserrat"/>
                <w:b/>
                <w:bCs/>
                <w:color w:val="FFFFFF"/>
                <w:sz w:val="26"/>
                <w:szCs w:val="26"/>
              </w:rPr>
              <w:t xml:space="preserve">9</w:t>
            </w:r>
          </w:p>
        </w:tc>
        <w:tc>
          <w:tcPr>
            <w:tcW w:type="dxa" w:w="8940"/>
            <w:tcBorders>
              <w:top w:val="single" w:color="e0dfdd" w:sz="4"/>
              <w:left w:val="single" w:color="e0dfdd" w:sz="4"/>
              <w:bottom w:val="single" w:color="e0dfdd" w:sz="4"/>
              <w:right w:val="single" w:color="e0dfdd" w:sz="4"/>
            </w:tcBorders>
            <w:tcMar>
              <w:top w:type="dxa" w:w="120"/>
              <w:left w:type="dxa" w:w="200"/>
              <w:bottom w:type="dxa" w:w="120"/>
              <w:right w:type="dxa" w:w="200"/>
            </w:tcMar>
            <w:vAlign w:val="center"/>
          </w:tcPr>
          <w:p>
            <w:pPr>
              <w:spacing w:after="0" w:before="0" w:line="264"/>
            </w:pPr>
            <w:r>
              <w:rPr>
                <w:rFonts w:ascii="Arial" w:cs="Arial" w:eastAsia="Arial" w:hAnsi="Arial"/>
                <w:b/>
                <w:bCs/>
                <w:color w:val="2d3741"/>
                <w:sz w:val="21"/>
                <w:szCs w:val="21"/>
              </w:rPr>
              <w:t xml:space="preserve">Labour on repairs: do you plan to start charging labour on calibrations and repairs, and if so, as a flat bench fee or a daily rate?</w:t>
            </w:r>
          </w:p>
        </w:tc>
      </w:tr>
      <w:tr>
        <w:trPr>
          <w:cantSplit/>
        </w:trPr>
        <w:tc>
          <w:tcPr>
            <w:tcW w:type="dxa" w:w="700"/>
            <w:tcBorders>
              <w:top w:val="single" w:color="e0dfdd" w:sz="4"/>
              <w:left w:val="single" w:color="e0dfdd" w:sz="4"/>
              <w:bottom w:val="single" w:color="e0dfdd" w:sz="4"/>
              <w:right w:val="single" w:color="e0dfdd" w:sz="4"/>
            </w:tcBorders>
            <w:shd w:fill="faeeea" w:val="clear"/>
          </w:tcPr>
          <w:p>
            <w:pPr>
              <w:jc w:val="center"/>
            </w:pPr>
            <w:r>
              <w:rPr>
                <w:rFonts w:ascii="Montserrat" w:cs="Montserrat" w:eastAsia="Montserrat" w:hAnsi="Montserrat"/>
                <w:b/>
                <w:bCs/>
                <w:color w:val="dd7353"/>
                <w:sz w:val="13"/>
                <w:szCs w:val="13"/>
              </w:rPr>
              <w:t xml:space="preserve">WHY</w:t>
            </w:r>
          </w:p>
        </w:tc>
        <w:tc>
          <w:tcPr>
            <w:tcW w:type="dxa" w:w="8940"/>
            <w:tcBorders>
              <w:top w:val="single" w:color="e0dfdd" w:sz="4"/>
              <w:left w:val="single" w:color="e0dfdd" w:sz="4"/>
              <w:bottom w:val="single" w:color="e0dfdd" w:sz="4"/>
              <w:right w:val="single" w:color="e0dfdd" w:sz="4"/>
            </w:tcBorders>
            <w:shd w:fill="faeeea" w:val="clear"/>
            <w:tcMar>
              <w:top w:type="dxa" w:w="100"/>
              <w:left w:type="dxa" w:w="200"/>
              <w:bottom w:type="dxa" w:w="100"/>
              <w:right w:type="dxa" w:w="200"/>
            </w:tcMar>
          </w:tcPr>
          <w:p>
            <w:pPr>
              <w:spacing w:after="0" w:before="0" w:line="264"/>
            </w:pPr>
            <w:r>
              <w:rPr>
                <w:rFonts w:ascii="Arial" w:cs="Arial" w:eastAsia="Arial" w:hAnsi="Arial"/>
                <w:color w:val="607a80"/>
                <w:sz w:val="19"/>
                <w:szCs w:val="19"/>
              </w:rPr>
              <w:t xml:space="preserve">This changes the service item setup and margins on the repairs side. Both Xero and Cin7 handle it, so it shapes the design rather than the system choice, but we need the answer before building.</w:t>
            </w:r>
          </w:p>
        </w:tc>
      </w:tr>
      <w:tr>
        <w:trPr>
          <w:cantSplit/>
        </w:trPr>
        <w:tc>
          <w:tcPr>
            <w:tcW w:type="dxa" w:w="700"/>
            <w:tcBorders>
              <w:top w:val="single" w:color="e0dfdd" w:sz="4"/>
              <w:left w:val="single" w:color="e0dfdd" w:sz="4"/>
              <w:bottom w:val="single" w:color="e0dfdd" w:sz="4"/>
              <w:right w:val="single" w:color="e0dfdd" w:sz="4"/>
            </w:tcBorders>
            <w:shd w:fill="fbf7ec" w:val="clear"/>
          </w:tcPr>
          <w:p>
            <w:pPr>
              <w:jc w:val="center"/>
            </w:pPr>
            <w:r>
              <w:rPr>
                <w:rFonts w:ascii="Montserrat" w:cs="Montserrat" w:eastAsia="Montserrat" w:hAnsi="Montserrat"/>
                <w:b/>
                <w:bCs/>
                <w:color w:val="607a80"/>
                <w:sz w:val="13"/>
                <w:szCs w:val="13"/>
              </w:rPr>
              <w:t xml:space="preserve">A</w:t>
            </w:r>
          </w:p>
        </w:tc>
        <w:tc>
          <w:tcPr>
            <w:tcW w:type="dxa" w:w="8940"/>
            <w:tcBorders>
              <w:top w:val="single" w:color="e0dfdd" w:sz="4"/>
              <w:left w:val="single" w:color="e0dfdd" w:sz="4"/>
              <w:bottom w:val="single" w:color="e0dfdd" w:sz="4"/>
              <w:right w:val="single" w:color="e0dfdd" w:sz="4"/>
            </w:tcBorders>
            <w:shd w:fill="fbf7ec" w:val="clear"/>
            <w:tcMar>
              <w:top w:type="dxa" w:w="100"/>
              <w:left w:type="dxa" w:w="200"/>
              <w:bottom w:type="dxa" w:w="100"/>
              <w:right w:type="dxa" w:w="200"/>
            </w:tcMar>
          </w:tcPr>
          <w:p>
            <w:pPr>
              <w:spacing w:after="60" w:before="0" w:line="264"/>
            </w:pPr>
            <w:r>
              <w:rPr>
                <w:rFonts w:ascii="Montserrat" w:cs="Montserrat" w:eastAsia="Montserrat" w:hAnsi="Montserrat"/>
                <w:b/>
                <w:bCs/>
                <w:color w:val="607a80"/>
                <w:spacing w:val="20"/>
                <w:sz w:val="13"/>
                <w:szCs w:val="13"/>
              </w:rPr>
              <w:t xml:space="preserve">PRE-FILLED FROM OUR CALLS. PLEASE CORRECT ANYTHING THAT IS OFF:</w:t>
            </w:r>
          </w:p>
          <w:p>
            <w:pPr>
              <w:spacing w:after="120" w:before="0" w:line="264"/>
            </w:pPr>
            <w:r>
              <w:rPr>
                <w:rFonts w:ascii="Arial" w:cs="Arial" w:eastAsia="Arial" w:hAnsi="Arial"/>
                <w:color w:val="2d3741"/>
                <w:sz w:val="20"/>
                <w:szCs w:val="20"/>
              </w:rPr>
              <w:t xml:space="preserve">Today no labour is charged on repairs and costs are not assigned to jobs. On 10 June there was interest in tracking how long tasks take, and the team noted a daily rate fits site work better than hourly. Claire was going to raise repair labour charges with management. Where did that land?</w:t>
            </w:r>
          </w:p>
          <w:p>
            <w:pPr>
              <w:spacing w:after="0" w:before="0" w:line="264"/>
            </w:pPr>
            <w:r>
              <w:rPr>
                <w:rFonts w:ascii="Arial" w:cs="Arial" w:eastAsia="Arial" w:hAnsi="Arial"/>
                <w:i/>
                <w:iCs/>
                <w:color w:val="97aaaa"/>
                <w:sz w:val="19"/>
                <w:szCs w:val="19"/>
              </w:rPr>
              <w:t xml:space="preserve">Your answer / corrections:</w:t>
            </w:r>
          </w:p>
          <w:p>
            <w:pPr>
              <w:spacing w:after="0" w:before="0" w:line="264"/>
            </w:pPr>
            <w:r>
              <w:rPr>
                <w:rFonts w:ascii="Arial" w:cs="Arial" w:eastAsia="Arial" w:hAnsi="Arial"/>
                <w:color w:val="2d3741"/>
                <w:sz w:val="20"/>
                <w:szCs w:val="20"/>
              </w:rPr>
              <w:t xml:space="preserve"> </w:t>
            </w:r>
          </w:p>
          <w:p>
            <w:pPr>
              <w:spacing w:after="0" w:before="0" w:line="264"/>
            </w:pPr>
            <w:r>
              <w:rPr>
                <w:rFonts w:ascii="Arial" w:cs="Arial" w:eastAsia="Arial" w:hAnsi="Arial"/>
                <w:color w:val="2d3741"/>
                <w:sz w:val="20"/>
                <w:szCs w:val="20"/>
              </w:rPr>
              <w:t xml:space="preserve"> </w:t>
            </w:r>
          </w:p>
          <w:p>
            <w:pPr>
              <w:spacing w:after="0" w:before="0" w:line="264"/>
            </w:pPr>
            <w:r>
              <w:rPr>
                <w:rFonts w:ascii="Arial" w:cs="Arial" w:eastAsia="Arial" w:hAnsi="Arial"/>
                <w:color w:val="2d3741"/>
                <w:sz w:val="20"/>
                <w:szCs w:val="20"/>
              </w:rPr>
              <w:t xml:space="preserve"> </w:t>
            </w:r>
          </w:p>
        </w:tc>
      </w:tr>
    </w:tbl>
    <w:p>
      <w:pPr>
        <w:spacing w:after="240"/>
      </w:pPr>
    </w:p>
    <w:tbl>
      <w:tblPr>
        <w:tblW w:type="dxa" w:w="9640"/>
        <w:tblBorders>
          <w:top w:val="single" w:color="e0dfdd" w:sz="4"/>
          <w:left w:val="single" w:color="e0dfdd" w:sz="4"/>
          <w:bottom w:val="single" w:color="e0dfdd" w:sz="4"/>
          <w:right w:val="single" w:color="e0dfdd" w:sz="4"/>
          <w:insideH w:val="single" w:color="e0dfdd" w:sz="4"/>
          <w:insideV w:val="single" w:color="e0dfdd" w:sz="4"/>
        </w:tblBorders>
      </w:tblPr>
      <w:tblGrid>
        <w:gridCol w:w="700"/>
        <w:gridCol w:w="8940"/>
      </w:tblGrid>
      <w:tr>
        <w:trPr>
          <w:cantSplit/>
        </w:trPr>
        <w:tc>
          <w:tcPr>
            <w:tcW w:type="dxa" w:w="700"/>
            <w:tcBorders>
              <w:top w:val="single" w:color="e0dfdd" w:sz="4"/>
              <w:left w:val="single" w:color="e0dfdd" w:sz="4"/>
              <w:bottom w:val="single" w:color="e0dfdd" w:sz="4"/>
              <w:right w:val="single" w:color="e0dfdd" w:sz="4"/>
            </w:tcBorders>
            <w:shd w:fill="2d3741" w:val="clear"/>
            <w:vAlign w:val="center"/>
          </w:tcPr>
          <w:p>
            <w:pPr>
              <w:jc w:val="center"/>
            </w:pPr>
            <w:r>
              <w:rPr>
                <w:rFonts w:ascii="Montserrat" w:cs="Montserrat" w:eastAsia="Montserrat" w:hAnsi="Montserrat"/>
                <w:b/>
                <w:bCs/>
                <w:color w:val="FFFFFF"/>
                <w:sz w:val="26"/>
                <w:szCs w:val="26"/>
              </w:rPr>
              <w:t xml:space="preserve">10</w:t>
            </w:r>
          </w:p>
        </w:tc>
        <w:tc>
          <w:tcPr>
            <w:tcW w:type="dxa" w:w="8940"/>
            <w:tcBorders>
              <w:top w:val="single" w:color="e0dfdd" w:sz="4"/>
              <w:left w:val="single" w:color="e0dfdd" w:sz="4"/>
              <w:bottom w:val="single" w:color="e0dfdd" w:sz="4"/>
              <w:right w:val="single" w:color="e0dfdd" w:sz="4"/>
            </w:tcBorders>
            <w:tcMar>
              <w:top w:type="dxa" w:w="120"/>
              <w:left w:type="dxa" w:w="200"/>
              <w:bottom w:type="dxa" w:w="120"/>
              <w:right w:type="dxa" w:w="200"/>
            </w:tcMar>
            <w:vAlign w:val="center"/>
          </w:tcPr>
          <w:p>
            <w:pPr>
              <w:spacing w:after="0" w:before="0" w:line="264"/>
            </w:pPr>
            <w:r>
              <w:rPr>
                <w:rFonts w:ascii="Arial" w:cs="Arial" w:eastAsia="Arial" w:hAnsi="Arial"/>
                <w:b/>
                <w:bCs/>
                <w:color w:val="2d3741"/>
                <w:sz w:val="21"/>
                <w:szCs w:val="21"/>
              </w:rPr>
              <w:t xml:space="preserve">The CRM: what does your CRM actually need to do (pipeline only, or quotes and orders too), and if Cin7 goes ahead, would you consider HubSpot, since Pipedrive does not integrate with Cin7?</w:t>
            </w:r>
          </w:p>
        </w:tc>
      </w:tr>
      <w:tr>
        <w:trPr>
          <w:cantSplit/>
        </w:trPr>
        <w:tc>
          <w:tcPr>
            <w:tcW w:type="dxa" w:w="700"/>
            <w:tcBorders>
              <w:top w:val="single" w:color="e0dfdd" w:sz="4"/>
              <w:left w:val="single" w:color="e0dfdd" w:sz="4"/>
              <w:bottom w:val="single" w:color="e0dfdd" w:sz="4"/>
              <w:right w:val="single" w:color="e0dfdd" w:sz="4"/>
            </w:tcBorders>
            <w:shd w:fill="faeeea" w:val="clear"/>
          </w:tcPr>
          <w:p>
            <w:pPr>
              <w:jc w:val="center"/>
            </w:pPr>
            <w:r>
              <w:rPr>
                <w:rFonts w:ascii="Montserrat" w:cs="Montserrat" w:eastAsia="Montserrat" w:hAnsi="Montserrat"/>
                <w:b/>
                <w:bCs/>
                <w:color w:val="dd7353"/>
                <w:sz w:val="13"/>
                <w:szCs w:val="13"/>
              </w:rPr>
              <w:t xml:space="preserve">WHY</w:t>
            </w:r>
          </w:p>
        </w:tc>
        <w:tc>
          <w:tcPr>
            <w:tcW w:type="dxa" w:w="8940"/>
            <w:tcBorders>
              <w:top w:val="single" w:color="e0dfdd" w:sz="4"/>
              <w:left w:val="single" w:color="e0dfdd" w:sz="4"/>
              <w:bottom w:val="single" w:color="e0dfdd" w:sz="4"/>
              <w:right w:val="single" w:color="e0dfdd" w:sz="4"/>
            </w:tcBorders>
            <w:shd w:fill="faeeea" w:val="clear"/>
            <w:tcMar>
              <w:top w:type="dxa" w:w="100"/>
              <w:left w:type="dxa" w:w="200"/>
              <w:bottom w:type="dxa" w:w="100"/>
              <w:right w:type="dxa" w:w="200"/>
            </w:tcMar>
          </w:tcPr>
          <w:p>
            <w:pPr>
              <w:spacing w:after="0" w:before="0" w:line="264"/>
            </w:pPr>
            <w:r>
              <w:rPr>
                <w:rFonts w:ascii="Arial" w:cs="Arial" w:eastAsia="Arial" w:hAnsi="Arial"/>
                <w:color w:val="607a80"/>
                <w:sz w:val="19"/>
                <w:szCs w:val="19"/>
              </w:rPr>
              <w:t xml:space="preserve">This is a hidden cost in the Cin7 route. Pipedrive talks to Xero but not to Cin7. Keeping Cin7 and Pipedrive means re-keying between systems; moving to HubSpot adds subscription cost. A Xero-only build keeps Pipedrive as is.</w:t>
            </w:r>
          </w:p>
        </w:tc>
      </w:tr>
      <w:tr>
        <w:trPr>
          <w:cantSplit/>
        </w:trPr>
        <w:tc>
          <w:tcPr>
            <w:tcW w:type="dxa" w:w="700"/>
            <w:tcBorders>
              <w:top w:val="single" w:color="e0dfdd" w:sz="4"/>
              <w:left w:val="single" w:color="e0dfdd" w:sz="4"/>
              <w:bottom w:val="single" w:color="e0dfdd" w:sz="4"/>
              <w:right w:val="single" w:color="e0dfdd" w:sz="4"/>
            </w:tcBorders>
            <w:shd w:fill="fbf7ec" w:val="clear"/>
          </w:tcPr>
          <w:p>
            <w:pPr>
              <w:jc w:val="center"/>
            </w:pPr>
            <w:r>
              <w:rPr>
                <w:rFonts w:ascii="Montserrat" w:cs="Montserrat" w:eastAsia="Montserrat" w:hAnsi="Montserrat"/>
                <w:b/>
                <w:bCs/>
                <w:color w:val="607a80"/>
                <w:sz w:val="13"/>
                <w:szCs w:val="13"/>
              </w:rPr>
              <w:t xml:space="preserve">A</w:t>
            </w:r>
          </w:p>
        </w:tc>
        <w:tc>
          <w:tcPr>
            <w:tcW w:type="dxa" w:w="8940"/>
            <w:tcBorders>
              <w:top w:val="single" w:color="e0dfdd" w:sz="4"/>
              <w:left w:val="single" w:color="e0dfdd" w:sz="4"/>
              <w:bottom w:val="single" w:color="e0dfdd" w:sz="4"/>
              <w:right w:val="single" w:color="e0dfdd" w:sz="4"/>
            </w:tcBorders>
            <w:shd w:fill="fbf7ec" w:val="clear"/>
            <w:tcMar>
              <w:top w:type="dxa" w:w="100"/>
              <w:left w:type="dxa" w:w="200"/>
              <w:bottom w:type="dxa" w:w="100"/>
              <w:right w:type="dxa" w:w="200"/>
            </w:tcMar>
          </w:tcPr>
          <w:p>
            <w:pPr>
              <w:spacing w:after="60" w:before="0" w:line="264"/>
            </w:pPr>
            <w:r>
              <w:rPr>
                <w:rFonts w:ascii="Montserrat" w:cs="Montserrat" w:eastAsia="Montserrat" w:hAnsi="Montserrat"/>
                <w:b/>
                <w:bCs/>
                <w:color w:val="607a80"/>
                <w:spacing w:val="20"/>
                <w:sz w:val="13"/>
                <w:szCs w:val="13"/>
              </w:rPr>
              <w:t xml:space="preserve">PRE-FILLED FROM OUR CALLS. PLEASE CORRECT ANYTHING THAT IS OFF:</w:t>
            </w:r>
          </w:p>
          <w:p>
            <w:pPr>
              <w:spacing w:after="120" w:before="0" w:line="264"/>
            </w:pPr>
            <w:r>
              <w:rPr>
                <w:rFonts w:ascii="Arial" w:cs="Arial" w:eastAsia="Arial" w:hAnsi="Arial"/>
                <w:color w:val="2d3741"/>
                <w:sz w:val="20"/>
                <w:szCs w:val="20"/>
              </w:rPr>
              <w:t xml:space="preserve">You chose Pipedrive over HubSpot on cost, mainly for the new business pipeline. Quoting for calibrations and repairs happens at the workshop and invoicing stays in the finance system, so we assume the CRM does not need to raise quotes or orders. Please confirm.</w:t>
            </w:r>
          </w:p>
          <w:p>
            <w:pPr>
              <w:spacing w:after="0" w:before="0" w:line="264"/>
            </w:pPr>
            <w:r>
              <w:rPr>
                <w:rFonts w:ascii="Arial" w:cs="Arial" w:eastAsia="Arial" w:hAnsi="Arial"/>
                <w:i/>
                <w:iCs/>
                <w:color w:val="97aaaa"/>
                <w:sz w:val="19"/>
                <w:szCs w:val="19"/>
              </w:rPr>
              <w:t xml:space="preserve">Your answer / corrections:</w:t>
            </w:r>
          </w:p>
          <w:p>
            <w:pPr>
              <w:spacing w:after="0" w:before="0" w:line="264"/>
            </w:pPr>
            <w:r>
              <w:rPr>
                <w:rFonts w:ascii="Arial" w:cs="Arial" w:eastAsia="Arial" w:hAnsi="Arial"/>
                <w:color w:val="2d3741"/>
                <w:sz w:val="20"/>
                <w:szCs w:val="20"/>
              </w:rPr>
              <w:t xml:space="preserve"> </w:t>
            </w:r>
          </w:p>
          <w:p>
            <w:pPr>
              <w:spacing w:after="0" w:before="0" w:line="264"/>
            </w:pPr>
            <w:r>
              <w:rPr>
                <w:rFonts w:ascii="Arial" w:cs="Arial" w:eastAsia="Arial" w:hAnsi="Arial"/>
                <w:color w:val="2d3741"/>
                <w:sz w:val="20"/>
                <w:szCs w:val="20"/>
              </w:rPr>
              <w:t xml:space="preserve"> </w:t>
            </w:r>
          </w:p>
          <w:p>
            <w:pPr>
              <w:spacing w:after="0" w:before="0" w:line="264"/>
            </w:pPr>
            <w:r>
              <w:rPr>
                <w:rFonts w:ascii="Arial" w:cs="Arial" w:eastAsia="Arial" w:hAnsi="Arial"/>
                <w:color w:val="2d3741"/>
                <w:sz w:val="20"/>
                <w:szCs w:val="20"/>
              </w:rPr>
              <w:t xml:space="preserve"> </w:t>
            </w:r>
          </w:p>
        </w:tc>
      </w:tr>
    </w:tbl>
    <w:p>
      <w:pPr>
        <w:spacing w:after="300"/>
      </w:pPr>
    </w:p>
    <w:p>
      <w:pPr>
        <w:spacing w:after="80" w:before="0" w:line="264"/>
      </w:pPr>
      <w:r>
        <w:rPr>
          <w:rFonts w:ascii="Montserrat" w:cs="Montserrat" w:eastAsia="Montserrat" w:hAnsi="Montserrat"/>
          <w:b/>
          <w:bCs/>
          <w:color w:val="607a80"/>
          <w:spacing w:val="30"/>
          <w:sz w:val="15"/>
          <w:szCs w:val="15"/>
        </w:rPr>
        <w:t xml:space="preserve">WHAT HAPPENS NEXT</w:t>
      </w:r>
    </w:p>
    <w:p>
      <w:pPr>
        <w:spacing w:after="120" w:before="0" w:line="264"/>
      </w:pPr>
      <w:r>
        <w:rPr>
          <w:rFonts w:ascii="Arial" w:cs="Arial" w:eastAsia="Arial" w:hAnsi="Arial"/>
          <w:color w:val="2d3741"/>
          <w:sz w:val="20"/>
          <w:szCs w:val="20"/>
        </w:rPr>
        <w:t xml:space="preserve">Once we have your answers, we will come back with a clear recommendation and the numbers behind it: either Cin7 Core with a scoped setup plan, or a simpler build on Xero inventory with the subscription saving quantified. Either way, the Xero, Dext and SimplePay work continues exactly as planned and nothing here moves the go-live timeline.</w:t>
      </w:r>
    </w:p>
    <w:p>
      <w:pPr>
        <w:spacing w:after="0" w:before="0" w:line="264"/>
      </w:pPr>
      <w:r>
        <w:rPr>
          <w:rFonts w:ascii="Arial" w:cs="Arial" w:eastAsia="Arial" w:hAnsi="Arial"/>
          <w:i/>
          <w:iCs/>
          <w:color w:val="607a80"/>
          <w:sz w:val="20"/>
          <w:szCs w:val="20"/>
        </w:rPr>
        <w:t xml:space="preserve">Questions while filling this in? Email abouah@creativecfo.com. Rough answers now beat perfect answers next week.</w:t>
      </w:r>
    </w:p>
    <w:sectPr>
      <w:pgSz w:w="11906" w:h="16838" w:orient="portrait"/>
      <w:pgMar w:top="1000" w:right="1160" w:bottom="1000" w:left="1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2026-08-07T08:53:06.371Z</dcterms:created>
  <dcterms:modified xsi:type="dcterms:W3CDTF">2026-08-07T08:53:06.372Z</dcterms:modified>
</cp:coreProperties>
</file>

<file path=docProps/custom.xml><?xml version="1.0" encoding="utf-8"?>
<Properties xmlns="http://schemas.openxmlformats.org/officeDocument/2006/custom-properties" xmlns:vt="http://schemas.openxmlformats.org/officeDocument/2006/docPropsVTypes"/>
</file>