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18324A"/>
          <w:sz w:val="60"/>
        </w:rPr>
        <w:t>ARCHITECTURE</w:t>
        <w:br/>
        <w:t>ASSESSMENT</w:t>
      </w:r>
    </w:p>
    <w:p>
      <w:pPr>
        <w:spacing w:before="120"/>
      </w:pPr>
      <w:r>
        <w:rPr>
          <w:rFonts w:ascii="Aptos Display" w:hAnsi="Aptos Display"/>
          <w:color w:val="138A8A"/>
          <w:sz w:val="40"/>
        </w:rPr>
        <w:t>Wallet Backend</w:t>
      </w:r>
    </w:p>
    <w:tbl>
      <w:tblPr>
        <w:tblW w:type="auto" w:w="0"/>
        <w:tblLook w:firstColumn="1" w:firstRow="1" w:lastColumn="0" w:lastRow="0" w:noHBand="0" w:noVBand="1" w:val="04A0"/>
      </w:tblPr>
      <w:tblGrid>
        <w:gridCol w:w="9936"/>
      </w:tblGrid>
      <w:tr>
        <w:tc>
          <w:tcPr>
            <w:tcW w:type="dxa" w:w="9936"/>
            <w:shd w:fill="138A8A"/>
          </w:tcP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744"/>
            <w:vAlign w:val="center"/>
            <w:shd w:fill="18324A"/>
          </w:tcPr>
          <w:p>
            <w:pPr>
              <w:spacing w:after="0"/>
            </w:pPr>
            <w:r/>
            <w:r>
              <w:rPr>
                <w:rFonts w:ascii="Aptos" w:hAnsi="Aptos"/>
                <w:b/>
                <w:color w:val="FFFFFF"/>
                <w:sz w:val="16"/>
              </w:rPr>
              <w:t>Assessment Scope</w:t>
            </w:r>
          </w:p>
        </w:tc>
        <w:tc>
          <w:tcPr>
            <w:tcW w:type="dxa" w:w="2160"/>
            <w:vAlign w:val="center"/>
            <w:shd w:fill="18324A"/>
          </w:tcPr>
          <w:p>
            <w:pPr>
              <w:spacing w:after="0"/>
            </w:pPr>
            <w:r/>
            <w:r>
              <w:rPr>
                <w:rFonts w:ascii="Aptos" w:hAnsi="Aptos"/>
                <w:b/>
                <w:color w:val="FFFFFF"/>
                <w:sz w:val="16"/>
              </w:rPr>
              <w:t>Project</w:t>
            </w:r>
          </w:p>
        </w:tc>
        <w:tc>
          <w:tcPr>
            <w:tcW w:type="dxa" w:w="2016"/>
            <w:vAlign w:val="center"/>
            <w:shd w:fill="18324A"/>
          </w:tcPr>
          <w:p>
            <w:pPr>
              <w:spacing w:after="0"/>
            </w:pPr>
            <w:r/>
            <w:r>
              <w:rPr>
                <w:rFonts w:ascii="Aptos" w:hAnsi="Aptos"/>
                <w:b/>
                <w:color w:val="FFFFFF"/>
                <w:sz w:val="16"/>
              </w:rPr>
              <w:t>Review Date</w:t>
            </w:r>
          </w:p>
        </w:tc>
        <w:tc>
          <w:tcPr>
            <w:tcW w:type="dxa" w:w="1584"/>
            <w:vAlign w:val="center"/>
            <w:shd w:fill="18324A"/>
          </w:tcPr>
          <w:p>
            <w:pPr>
              <w:spacing w:after="0"/>
            </w:pPr>
            <w:r/>
            <w:r>
              <w:rPr>
                <w:rFonts w:ascii="Aptos" w:hAnsi="Aptos"/>
                <w:b/>
                <w:color w:val="FFFFFF"/>
                <w:sz w:val="16"/>
              </w:rPr>
              <w:t>Classification</w:t>
            </w:r>
          </w:p>
        </w:tc>
      </w:tr>
      <w:tr>
        <w:tc>
          <w:tcPr>
            <w:tcW w:type="dxa" w:w="3744"/>
            <w:vAlign w:val="center"/>
          </w:tcPr>
          <w:p>
            <w:pPr>
              <w:spacing w:after="0"/>
            </w:pPr>
            <w:r/>
            <w:r>
              <w:rPr>
                <w:rFonts w:ascii="Aptos" w:hAnsi="Aptos"/>
                <w:b w:val="0"/>
                <w:color w:val="18324A"/>
                <w:sz w:val="16"/>
              </w:rPr>
              <w:t>Architecture, data flow, patterns and risks</w:t>
            </w:r>
          </w:p>
        </w:tc>
        <w:tc>
          <w:tcPr>
            <w:tcW w:type="dxa" w:w="2160"/>
            <w:vAlign w:val="center"/>
          </w:tcPr>
          <w:p>
            <w:pPr>
              <w:spacing w:after="0"/>
            </w:pPr>
            <w:r/>
            <w:r>
              <w:rPr>
                <w:rFonts w:ascii="Aptos" w:hAnsi="Aptos"/>
                <w:b w:val="0"/>
                <w:color w:val="18324A"/>
                <w:sz w:val="16"/>
              </w:rPr>
              <w:t>wallet-backend</w:t>
            </w:r>
          </w:p>
        </w:tc>
        <w:tc>
          <w:tcPr>
            <w:tcW w:type="dxa" w:w="2016"/>
            <w:vAlign w:val="center"/>
          </w:tcPr>
          <w:p>
            <w:pPr>
              <w:spacing w:after="0"/>
            </w:pPr>
            <w:r/>
            <w:r>
              <w:rPr>
                <w:rFonts w:ascii="Aptos" w:hAnsi="Aptos"/>
                <w:b w:val="0"/>
                <w:color w:val="18324A"/>
                <w:sz w:val="16"/>
              </w:rPr>
              <w:t>July 24, 2026</w:t>
            </w:r>
          </w:p>
        </w:tc>
        <w:tc>
          <w:tcPr>
            <w:tcW w:type="dxa" w:w="1584"/>
            <w:vAlign w:val="center"/>
          </w:tcPr>
          <w:p>
            <w:pPr>
              <w:spacing w:after="0"/>
            </w:pPr>
            <w:r/>
            <w:r>
              <w:rPr>
                <w:rFonts w:ascii="Aptos" w:hAnsi="Aptos"/>
                <w:b w:val="0"/>
                <w:color w:val="18324A"/>
                <w:sz w:val="16"/>
              </w:rPr>
              <w:t>Internal</w:t>
            </w:r>
          </w:p>
        </w:tc>
      </w:tr>
    </w:tbl>
    <w:p>
      <w:pPr>
        <w:spacing w:after="0"/>
      </w:pPr>
    </w:p>
    <w:p/>
    <w:tbl>
      <w:tblPr>
        <w:tblW w:type="auto" w:w="0"/>
        <w:jc w:val="center"/>
        <w:tblLook w:firstColumn="1" w:firstRow="1" w:lastColumn="0" w:lastRow="0" w:noHBand="0" w:noVBand="1" w:val="04A0"/>
      </w:tblPr>
      <w:tblGrid>
        <w:gridCol w:w="9936"/>
      </w:tblGrid>
      <w:tr>
        <w:tc>
          <w:tcPr>
            <w:tcW w:type="dxa" w:w="9936"/>
            <w:shd w:fill="E8F4F4"/>
          </w:tcPr>
          <w:p>
            <w:pPr>
              <w:spacing w:before="100" w:after="40"/>
            </w:pPr>
            <w:r/>
            <w:r>
              <w:rPr>
                <w:b/>
                <w:color w:val="138A8A"/>
                <w:sz w:val="20"/>
              </w:rPr>
              <w:t>Assessment conclusion</w:t>
            </w:r>
          </w:p>
          <w:p>
            <w:pPr>
              <w:spacing w:after="100"/>
            </w:pPr>
            <w:r>
              <w:rPr>
                <w:sz w:val="18"/>
              </w:rPr>
              <w:t>A coherent asynchronous FastAPI modular monolith with useful transactional foundations, but not yet production-safe as a financial ledger. Immediate attention is required for simulated funding paths, authorization boundaries, balance concurrency, idempotency, and settlement reconciliation.</w:t>
            </w:r>
          </w:p>
        </w:tc>
      </w:tr>
    </w:tbl>
    <w:p/>
    <w:p>
      <w:pPr>
        <w:spacing w:before="1100"/>
        <w:jc w:val="left"/>
      </w:pPr>
      <w:r>
        <w:rPr>
          <w:i/>
          <w:color w:val="697784"/>
          <w:sz w:val="17"/>
        </w:rPr>
        <w:t>Prepared from a read-only review of application source, models, configuration, migrations, and integration adapters.</w:t>
      </w:r>
    </w:p>
    <w:p>
      <w:r>
        <w:br w:type="page"/>
      </w:r>
    </w:p>
    <w:p>
      <w:pPr>
        <w:pStyle w:val="Heading1"/>
        <w:keepNext/>
      </w:pPr>
      <w:r>
        <w:t>1. Executive Summary</w:t>
      </w:r>
    </w:p>
    <w:p>
      <w:r>
        <w:t>The project is a single deployable FastAPI application backed by PostgreSQL and SQLAlchemy. Features are divided into HTTP handler modules, while business rules, persistence operations, and provider orchestration are generally implemented directly inside endpoint functions.</w:t>
      </w:r>
    </w:p>
    <w:tbl>
      <w:tblPr>
        <w:tblW w:type="auto" w:w="0"/>
        <w:jc w:val="center"/>
        <w:tblLook w:firstColumn="1" w:firstRow="1" w:lastColumn="0" w:lastRow="0" w:noHBand="0" w:noVBand="1" w:val="04A0"/>
      </w:tblPr>
      <w:tblGrid>
        <w:gridCol w:w="9936"/>
      </w:tblGrid>
      <w:tr>
        <w:tc>
          <w:tcPr>
            <w:tcW w:type="dxa" w:w="9936"/>
            <w:shd w:fill="EAF0F5"/>
          </w:tcPr>
          <w:p>
            <w:pPr>
              <w:spacing w:before="100" w:after="40"/>
            </w:pPr>
            <w:r/>
            <w:r>
              <w:rPr>
                <w:b/>
                <w:color w:val="138A8A"/>
                <w:sz w:val="20"/>
              </w:rPr>
              <w:t>Overall architectural posture</w:t>
            </w:r>
          </w:p>
          <w:p>
            <w:pPr>
              <w:spacing w:after="100"/>
            </w:pPr>
            <w:r>
              <w:rPr>
                <w:sz w:val="18"/>
              </w:rPr>
              <w:t>Suitable for continued development as a modular monolith. A microservice split is not recommended now; the more valuable step is to introduce an application-service layer, a reliable ledger, and explicit provider workflows.</w:t>
            </w:r>
          </w:p>
        </w:tc>
      </w:tr>
    </w:tbl>
    <w:p>
      <w:pPr>
        <w:pStyle w:val="Heading2"/>
        <w:keepNext/>
      </w:pPr>
      <w:r>
        <w:t>Key observations</w:t>
      </w:r>
    </w:p>
    <w:p>
      <w:pPr>
        <w:pStyle w:val="ListBullet"/>
        <w:spacing w:after="40"/>
      </w:pPr>
      <w:r>
        <w:t>Async database and HTTP I/O are used consistently, and selected transfer paths use pessimistic row locking.</w:t>
      </w:r>
    </w:p>
    <w:p>
      <w:pPr>
        <w:pStyle w:val="ListBullet"/>
        <w:spacing w:after="40"/>
      </w:pPr>
      <w:r>
        <w:t>User registration creates the user and wallet atomically; wallet-to-wallet transfer commits both balances and the transaction together.</w:t>
      </w:r>
    </w:p>
    <w:p>
      <w:pPr>
        <w:pStyle w:val="ListBullet"/>
        <w:spacing w:after="40"/>
      </w:pPr>
      <w:r>
        <w:t>The largest handlers combine routing, validation, business logic, SQL, serialization, and external-provider orchestration.</w:t>
      </w:r>
    </w:p>
    <w:p>
      <w:pPr>
        <w:pStyle w:val="ListBullet"/>
        <w:spacing w:after="40"/>
      </w:pPr>
      <w:r>
        <w:t>Several development or simulated payment paths can directly increase wallet balances without verified settlement.</w:t>
      </w:r>
    </w:p>
    <w:p>
      <w:pPr>
        <w:pStyle w:val="ListBullet"/>
        <w:spacing w:after="40"/>
      </w:pPr>
      <w:r>
        <w:t>No automated test suite or test configuration was found. Python source compilation completed successfully.</w:t>
      </w:r>
    </w:p>
    <w:p>
      <w:pPr>
        <w:pStyle w:val="Heading2"/>
        <w:keepNext/>
      </w:pPr>
      <w:r>
        <w:t>Risk snapshot</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8324A"/>
          </w:tcPr>
          <w:p>
            <w:pPr>
              <w:spacing w:after="0"/>
            </w:pPr>
            <w:r/>
            <w:r>
              <w:rPr>
                <w:rFonts w:ascii="Aptos" w:hAnsi="Aptos"/>
                <w:b/>
                <w:color w:val="FFFFFF"/>
                <w:sz w:val="16"/>
              </w:rPr>
              <w:t>Priority</w:t>
            </w:r>
          </w:p>
        </w:tc>
        <w:tc>
          <w:tcPr>
            <w:tcW w:type="dxa" w:w="2160"/>
            <w:vAlign w:val="center"/>
            <w:shd w:fill="18324A"/>
          </w:tcPr>
          <w:p>
            <w:pPr>
              <w:spacing w:after="0"/>
            </w:pPr>
            <w:r/>
            <w:r>
              <w:rPr>
                <w:rFonts w:ascii="Aptos" w:hAnsi="Aptos"/>
                <w:b/>
                <w:color w:val="FFFFFF"/>
                <w:sz w:val="16"/>
              </w:rPr>
              <w:t>Theme</w:t>
            </w:r>
          </w:p>
        </w:tc>
        <w:tc>
          <w:tcPr>
            <w:tcW w:type="dxa" w:w="6336"/>
            <w:vAlign w:val="center"/>
            <w:shd w:fill="18324A"/>
          </w:tcPr>
          <w:p>
            <w:pPr>
              <w:spacing w:after="0"/>
            </w:pPr>
            <w:r/>
            <w:r>
              <w:rPr>
                <w:rFonts w:ascii="Aptos" w:hAnsi="Aptos"/>
                <w:b/>
                <w:color w:val="FFFFFF"/>
                <w:sz w:val="16"/>
              </w:rPr>
              <w:t>Assessment</w:t>
            </w:r>
          </w:p>
        </w:tc>
      </w:tr>
      <w:tr>
        <w:tc>
          <w:tcPr>
            <w:tcW w:type="dxa" w:w="1152"/>
            <w:vAlign w:val="center"/>
          </w:tcPr>
          <w:p>
            <w:pPr>
              <w:spacing w:after="0"/>
            </w:pPr>
            <w:r/>
            <w:r>
              <w:rPr>
                <w:rFonts w:ascii="Aptos" w:hAnsi="Aptos"/>
                <w:b w:val="0"/>
                <w:color w:val="18324A"/>
                <w:sz w:val="16"/>
              </w:rPr>
              <w:t>Critical</w:t>
            </w:r>
          </w:p>
        </w:tc>
        <w:tc>
          <w:tcPr>
            <w:tcW w:type="dxa" w:w="2160"/>
            <w:vAlign w:val="center"/>
          </w:tcPr>
          <w:p>
            <w:pPr>
              <w:spacing w:after="0"/>
            </w:pPr>
            <w:r/>
            <w:r>
              <w:rPr>
                <w:rFonts w:ascii="Aptos" w:hAnsi="Aptos"/>
                <w:b w:val="0"/>
                <w:color w:val="18324A"/>
                <w:sz w:val="16"/>
              </w:rPr>
              <w:t>Financial integrity</w:t>
            </w:r>
          </w:p>
        </w:tc>
        <w:tc>
          <w:tcPr>
            <w:tcW w:type="dxa" w:w="6336"/>
            <w:vAlign w:val="center"/>
          </w:tcPr>
          <w:p>
            <w:pPr>
              <w:spacing w:after="0"/>
            </w:pPr>
            <w:r/>
            <w:r>
              <w:rPr>
                <w:rFonts w:ascii="Aptos" w:hAnsi="Aptos"/>
                <w:b w:val="0"/>
                <w:color w:val="18324A"/>
                <w:sz w:val="16"/>
              </w:rPr>
              <w:t>Simulated funding, incomplete locking, float arithmetic, and no client idempotency.</w:t>
            </w:r>
          </w:p>
        </w:tc>
      </w:tr>
      <w:tr>
        <w:tc>
          <w:tcPr>
            <w:tcW w:type="dxa" w:w="1152"/>
            <w:vAlign w:val="center"/>
            <w:shd w:fill="F3F5F7"/>
          </w:tcPr>
          <w:p>
            <w:pPr>
              <w:spacing w:after="0"/>
            </w:pPr>
            <w:r/>
            <w:r>
              <w:rPr>
                <w:rFonts w:ascii="Aptos" w:hAnsi="Aptos"/>
                <w:b w:val="0"/>
                <w:color w:val="18324A"/>
                <w:sz w:val="16"/>
              </w:rPr>
              <w:t>Critical</w:t>
            </w:r>
          </w:p>
        </w:tc>
        <w:tc>
          <w:tcPr>
            <w:tcW w:type="dxa" w:w="2160"/>
            <w:vAlign w:val="center"/>
            <w:shd w:fill="F3F5F7"/>
          </w:tcPr>
          <w:p>
            <w:pPr>
              <w:spacing w:after="0"/>
            </w:pPr>
            <w:r/>
            <w:r>
              <w:rPr>
                <w:rFonts w:ascii="Aptos" w:hAnsi="Aptos"/>
                <w:b w:val="0"/>
                <w:color w:val="18324A"/>
                <w:sz w:val="16"/>
              </w:rPr>
              <w:t>Security</w:t>
            </w:r>
          </w:p>
        </w:tc>
        <w:tc>
          <w:tcPr>
            <w:tcW w:type="dxa" w:w="6336"/>
            <w:vAlign w:val="center"/>
            <w:shd w:fill="F3F5F7"/>
          </w:tcPr>
          <w:p>
            <w:pPr>
              <w:spacing w:after="0"/>
            </w:pPr>
            <w:r/>
            <w:r>
              <w:rPr>
                <w:rFonts w:ascii="Aptos" w:hAnsi="Aptos"/>
                <w:b w:val="0"/>
                <w:color w:val="18324A"/>
                <w:sz w:val="16"/>
              </w:rPr>
              <w:t>Ordinary users can reach KYC review routes; unsafe secret and admin defaults exist.</w:t>
            </w:r>
          </w:p>
        </w:tc>
      </w:tr>
      <w:tr>
        <w:tc>
          <w:tcPr>
            <w:tcW w:type="dxa" w:w="1152"/>
            <w:vAlign w:val="center"/>
          </w:tcPr>
          <w:p>
            <w:pPr>
              <w:spacing w:after="0"/>
            </w:pPr>
            <w:r/>
            <w:r>
              <w:rPr>
                <w:rFonts w:ascii="Aptos" w:hAnsi="Aptos"/>
                <w:b w:val="0"/>
                <w:color w:val="18324A"/>
                <w:sz w:val="16"/>
              </w:rPr>
              <w:t>High</w:t>
            </w:r>
          </w:p>
        </w:tc>
        <w:tc>
          <w:tcPr>
            <w:tcW w:type="dxa" w:w="2160"/>
            <w:vAlign w:val="center"/>
          </w:tcPr>
          <w:p>
            <w:pPr>
              <w:spacing w:after="0"/>
            </w:pPr>
            <w:r/>
            <w:r>
              <w:rPr>
                <w:rFonts w:ascii="Aptos" w:hAnsi="Aptos"/>
                <w:b w:val="0"/>
                <w:color w:val="18324A"/>
                <w:sz w:val="16"/>
              </w:rPr>
              <w:t>Settlement reliability</w:t>
            </w:r>
          </w:p>
        </w:tc>
        <w:tc>
          <w:tcPr>
            <w:tcW w:type="dxa" w:w="6336"/>
            <w:vAlign w:val="center"/>
          </w:tcPr>
          <w:p>
            <w:pPr>
              <w:spacing w:after="0"/>
            </w:pPr>
            <w:r/>
            <w:r>
              <w:rPr>
                <w:rFonts w:ascii="Aptos" w:hAnsi="Aptos"/>
                <w:b w:val="0"/>
                <w:color w:val="18324A"/>
                <w:sz w:val="16"/>
              </w:rPr>
              <w:t>External calls and database commits are dual writes without outbox or reconciliation.</w:t>
            </w:r>
          </w:p>
        </w:tc>
      </w:tr>
      <w:tr>
        <w:tc>
          <w:tcPr>
            <w:tcW w:type="dxa" w:w="1152"/>
            <w:vAlign w:val="center"/>
            <w:shd w:fill="F3F5F7"/>
          </w:tcPr>
          <w:p>
            <w:pPr>
              <w:spacing w:after="0"/>
            </w:pPr>
            <w:r/>
            <w:r>
              <w:rPr>
                <w:rFonts w:ascii="Aptos" w:hAnsi="Aptos"/>
                <w:b w:val="0"/>
                <w:color w:val="18324A"/>
                <w:sz w:val="16"/>
              </w:rPr>
              <w:t>High</w:t>
            </w:r>
          </w:p>
        </w:tc>
        <w:tc>
          <w:tcPr>
            <w:tcW w:type="dxa" w:w="2160"/>
            <w:vAlign w:val="center"/>
            <w:shd w:fill="F3F5F7"/>
          </w:tcPr>
          <w:p>
            <w:pPr>
              <w:spacing w:after="0"/>
            </w:pPr>
            <w:r/>
            <w:r>
              <w:rPr>
                <w:rFonts w:ascii="Aptos" w:hAnsi="Aptos"/>
                <w:b w:val="0"/>
                <w:color w:val="18324A"/>
                <w:sz w:val="16"/>
              </w:rPr>
              <w:t>Scalability</w:t>
            </w:r>
          </w:p>
        </w:tc>
        <w:tc>
          <w:tcPr>
            <w:tcW w:type="dxa" w:w="6336"/>
            <w:vAlign w:val="center"/>
            <w:shd w:fill="F3F5F7"/>
          </w:tcPr>
          <w:p>
            <w:pPr>
              <w:spacing w:after="0"/>
            </w:pPr>
            <w:r/>
            <w:r>
              <w:rPr>
                <w:rFonts w:ascii="Aptos" w:hAnsi="Aptos"/>
                <w:b w:val="0"/>
                <w:color w:val="18324A"/>
                <w:sz w:val="16"/>
              </w:rPr>
              <w:t>Fee, rate, settings, and throttling state are local to one process.</w:t>
            </w:r>
          </w:p>
        </w:tc>
      </w:tr>
      <w:tr>
        <w:tc>
          <w:tcPr>
            <w:tcW w:type="dxa" w:w="1152"/>
            <w:vAlign w:val="center"/>
          </w:tcPr>
          <w:p>
            <w:pPr>
              <w:spacing w:after="0"/>
            </w:pPr>
            <w:r/>
            <w:r>
              <w:rPr>
                <w:rFonts w:ascii="Aptos" w:hAnsi="Aptos"/>
                <w:b w:val="0"/>
                <w:color w:val="18324A"/>
                <w:sz w:val="16"/>
              </w:rPr>
              <w:t>Medium</w:t>
            </w:r>
          </w:p>
        </w:tc>
        <w:tc>
          <w:tcPr>
            <w:tcW w:type="dxa" w:w="2160"/>
            <w:vAlign w:val="center"/>
          </w:tcPr>
          <w:p>
            <w:pPr>
              <w:spacing w:after="0"/>
            </w:pPr>
            <w:r/>
            <w:r>
              <w:rPr>
                <w:rFonts w:ascii="Aptos" w:hAnsi="Aptos"/>
                <w:b w:val="0"/>
                <w:color w:val="18324A"/>
                <w:sz w:val="16"/>
              </w:rPr>
              <w:t>Maintainability</w:t>
            </w:r>
          </w:p>
        </w:tc>
        <w:tc>
          <w:tcPr>
            <w:tcW w:type="dxa" w:w="6336"/>
            <w:vAlign w:val="center"/>
          </w:tcPr>
          <w:p>
            <w:pPr>
              <w:spacing w:after="0"/>
            </w:pPr>
            <w:r/>
            <w:r>
              <w:rPr>
                <w:rFonts w:ascii="Aptos" w:hAnsi="Aptos"/>
                <w:b w:val="0"/>
                <w:color w:val="18324A"/>
                <w:sz w:val="16"/>
              </w:rPr>
              <w:t>Large transaction-script handlers and stringly typed states encourage rule drift.</w:t>
            </w:r>
          </w:p>
        </w:tc>
      </w:tr>
    </w:tbl>
    <w:p>
      <w:pPr>
        <w:spacing w:after="0"/>
      </w:pPr>
    </w:p>
    <w:p>
      <w:pPr>
        <w:pStyle w:val="Heading1"/>
        <w:keepNext/>
      </w:pPr>
      <w:r>
        <w:t>2. Architecture Overview</w:t>
      </w:r>
    </w:p>
    <w:p>
      <w:r>
        <w:t>The application follows a feature-oriented modular-monolith structure. FastAPI composes routers under the /api/v1 prefix, middleware handles cross-cutting concerns, SQLAlchemy models represent persistent state, and service modules wrap selected third-party APIs.</w:t>
      </w:r>
    </w:p>
    <w:tbl>
      <w:tblPr>
        <w:tblStyle w:val="TableGrid"/>
        <w:tblW w:type="auto" w:w="0"/>
        <w:jc w:val="center"/>
        <w:tblLook w:firstColumn="1" w:firstRow="1" w:lastColumn="0" w:lastRow="0" w:noHBand="0" w:noVBand="1" w:val="04A0"/>
      </w:tblPr>
      <w:tblGrid>
        <w:gridCol w:w="9936"/>
      </w:tblGrid>
      <w:tr>
        <w:tc>
          <w:tcPr>
            <w:tcW w:type="dxa" w:w="9936"/>
            <w:vAlign w:val="center"/>
            <w:shd w:fill="18324A"/>
          </w:tcPr>
          <w:p>
            <w:pPr>
              <w:spacing w:after="0"/>
              <w:jc w:val="center"/>
            </w:pPr>
            <w:r/>
            <w:r>
              <w:rPr>
                <w:rFonts w:ascii="Aptos" w:hAnsi="Aptos"/>
                <w:b/>
                <w:color w:val="FFFFFF"/>
                <w:sz w:val="18"/>
              </w:rPr>
              <w:t>CLIENTS  •  Mobile app  •  Admin dashboard  •  API consumers</w:t>
            </w:r>
          </w:p>
        </w:tc>
      </w:tr>
      <w:tr>
        <w:tc>
          <w:tcPr>
            <w:tcW w:type="dxa" w:w="9936"/>
            <w:vAlign w:val="center"/>
            <w:shd w:fill="FFFFFF"/>
          </w:tcPr>
          <w:p>
            <w:pPr>
              <w:spacing w:after="0"/>
              <w:jc w:val="center"/>
            </w:pPr>
            <w:r/>
            <w:r>
              <w:rPr>
                <w:rFonts w:ascii="Aptos" w:hAnsi="Aptos"/>
                <w:b w:val="0"/>
                <w:color w:val="138A8A"/>
                <w:sz w:val="18"/>
              </w:rPr>
              <w:t>↓  JSON over HTTP / JWT bearer tokens</w:t>
            </w:r>
          </w:p>
        </w:tc>
      </w:tr>
      <w:tr>
        <w:tc>
          <w:tcPr>
            <w:tcW w:type="dxa" w:w="9936"/>
            <w:vAlign w:val="center"/>
            <w:shd w:fill="138A8A"/>
          </w:tcPr>
          <w:p>
            <w:pPr>
              <w:spacing w:after="0"/>
              <w:jc w:val="center"/>
            </w:pPr>
            <w:r/>
            <w:r>
              <w:rPr>
                <w:rFonts w:ascii="Aptos" w:hAnsi="Aptos"/>
                <w:b/>
                <w:color w:val="FFFFFF"/>
                <w:sz w:val="18"/>
              </w:rPr>
              <w:t>FASTAPI APPLICATION  •  CORS  •  Rate limiting  •  Router composition</w:t>
            </w:r>
          </w:p>
        </w:tc>
      </w:tr>
      <w:tr>
        <w:tc>
          <w:tcPr>
            <w:tcW w:type="dxa" w:w="9936"/>
            <w:vAlign w:val="center"/>
            <w:shd w:fill="FFFFFF"/>
          </w:tcPr>
          <w:p>
            <w:pPr>
              <w:spacing w:after="0"/>
              <w:jc w:val="center"/>
            </w:pPr>
            <w:r/>
            <w:r>
              <w:rPr>
                <w:rFonts w:ascii="Aptos" w:hAnsi="Aptos"/>
                <w:b w:val="0"/>
                <w:color w:val="138A8A"/>
                <w:sz w:val="18"/>
              </w:rPr>
              <w:t>↓</w:t>
            </w:r>
          </w:p>
        </w:tc>
      </w:tr>
      <w:tr>
        <w:tc>
          <w:tcPr>
            <w:tcW w:type="dxa" w:w="9936"/>
            <w:vAlign w:val="center"/>
            <w:shd w:fill="EAF0F5"/>
          </w:tcPr>
          <w:p>
            <w:pPr>
              <w:spacing w:after="0"/>
              <w:jc w:val="center"/>
            </w:pPr>
            <w:r/>
            <w:r>
              <w:rPr>
                <w:rFonts w:ascii="Aptos" w:hAnsi="Aptos"/>
                <w:b/>
                <w:color w:val="18324A"/>
                <w:sz w:val="18"/>
              </w:rPr>
              <w:t>FEATURE HANDLERS  •  Identity  •  Wallet  •  Transfers  •  Payments  •  KYC  •  Admin</w:t>
            </w:r>
          </w:p>
        </w:tc>
      </w:tr>
      <w:tr>
        <w:tc>
          <w:tcPr>
            <w:tcW w:type="dxa" w:w="9936"/>
            <w:vAlign w:val="center"/>
            <w:shd w:fill="FFFFFF"/>
          </w:tcPr>
          <w:p>
            <w:pPr>
              <w:spacing w:after="0"/>
              <w:jc w:val="center"/>
            </w:pPr>
            <w:r/>
            <w:r>
              <w:rPr>
                <w:rFonts w:ascii="Aptos" w:hAnsi="Aptos"/>
                <w:b w:val="0"/>
                <w:color w:val="138A8A"/>
                <w:sz w:val="18"/>
              </w:rPr>
              <w:t>↓ SQLAlchemy sessions                              ↓ Async provider calls</w:t>
            </w:r>
          </w:p>
        </w:tc>
      </w:tr>
      <w:tr>
        <w:tc>
          <w:tcPr>
            <w:tcW w:type="dxa" w:w="9936"/>
            <w:vAlign w:val="center"/>
            <w:shd w:fill="18324A"/>
          </w:tcPr>
          <w:p>
            <w:pPr>
              <w:spacing w:after="0"/>
              <w:jc w:val="center"/>
            </w:pPr>
            <w:r/>
            <w:r>
              <w:rPr>
                <w:rFonts w:ascii="Aptos" w:hAnsi="Aptos"/>
                <w:b/>
                <w:color w:val="FFFFFF"/>
                <w:sz w:val="18"/>
              </w:rPr>
              <w:t>POSTGRESQL / ALEMBIC                       SMS • SMTP • FX • Wave • ACH • Card gateway</w:t>
            </w:r>
          </w:p>
        </w:tc>
      </w:tr>
    </w:tbl>
    <w:p>
      <w:pPr>
        <w:pStyle w:val="Heading2"/>
        <w:keepNext/>
      </w:pPr>
      <w:r>
        <w:t>Deployment model</w:t>
      </w:r>
    </w:p>
    <w:p>
      <w:r>
        <w:t>The Docker image runs Uvicorn with one worker. This currently masks several process-local consistency problems, but those problems appear immediately if workers or replicas are added. PostgreSQL is a deliberate hard dependency through UUID, JSONB, and ARRAY column types.</w:t>
      </w:r>
    </w:p>
    <w:p>
      <w:pPr>
        <w:pStyle w:val="Heading1"/>
        <w:keepNext/>
      </w:pPr>
      <w:r>
        <w:t>3. Main Modules and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8324A"/>
          </w:tcPr>
          <w:p>
            <w:pPr>
              <w:spacing w:after="0"/>
            </w:pPr>
            <w:r/>
            <w:r>
              <w:rPr>
                <w:rFonts w:ascii="Aptos" w:hAnsi="Aptos"/>
                <w:b/>
                <w:color w:val="FFFFFF"/>
                <w:sz w:val="16"/>
              </w:rPr>
              <w:t>Module</w:t>
            </w:r>
          </w:p>
        </w:tc>
        <w:tc>
          <w:tcPr>
            <w:tcW w:type="dxa" w:w="4680"/>
            <w:vAlign w:val="center"/>
            <w:shd w:fill="18324A"/>
          </w:tcPr>
          <w:p>
            <w:pPr>
              <w:spacing w:after="0"/>
            </w:pPr>
            <w:r/>
            <w:r>
              <w:rPr>
                <w:rFonts w:ascii="Aptos" w:hAnsi="Aptos"/>
                <w:b/>
                <w:color w:val="FFFFFF"/>
                <w:sz w:val="16"/>
              </w:rPr>
              <w:t>Primary responsibility</w:t>
            </w:r>
          </w:p>
        </w:tc>
        <w:tc>
          <w:tcPr>
            <w:tcW w:type="dxa" w:w="3240"/>
            <w:vAlign w:val="center"/>
            <w:shd w:fill="18324A"/>
          </w:tcPr>
          <w:p>
            <w:pPr>
              <w:spacing w:after="0"/>
            </w:pPr>
            <w:r/>
            <w:r>
              <w:rPr>
                <w:rFonts w:ascii="Aptos" w:hAnsi="Aptos"/>
                <w:b/>
                <w:color w:val="FFFFFF"/>
                <w:sz w:val="16"/>
              </w:rPr>
              <w:t>Key dependencies</w:t>
            </w:r>
          </w:p>
        </w:tc>
      </w:tr>
      <w:tr>
        <w:tc>
          <w:tcPr>
            <w:tcW w:type="dxa" w:w="1944"/>
            <w:vAlign w:val="center"/>
          </w:tcPr>
          <w:p>
            <w:pPr>
              <w:spacing w:after="0"/>
            </w:pPr>
            <w:r/>
            <w:r>
              <w:rPr>
                <w:rFonts w:ascii="Aptos" w:hAnsi="Aptos"/>
                <w:b w:val="0"/>
                <w:color w:val="18324A"/>
                <w:sz w:val="16"/>
              </w:rPr>
              <w:t>main.py</w:t>
            </w:r>
          </w:p>
        </w:tc>
        <w:tc>
          <w:tcPr>
            <w:tcW w:type="dxa" w:w="4680"/>
            <w:vAlign w:val="center"/>
          </w:tcPr>
          <w:p>
            <w:pPr>
              <w:spacing w:after="0"/>
            </w:pPr>
            <w:r/>
            <w:r>
              <w:rPr>
                <w:rFonts w:ascii="Aptos" w:hAnsi="Aptos"/>
                <w:b w:val="0"/>
                <w:color w:val="18324A"/>
                <w:sz w:val="16"/>
              </w:rPr>
              <w:t>Lifecycle, CORS, rate limiting, health endpoint and router registration.</w:t>
            </w:r>
          </w:p>
        </w:tc>
        <w:tc>
          <w:tcPr>
            <w:tcW w:type="dxa" w:w="3240"/>
            <w:vAlign w:val="center"/>
          </w:tcPr>
          <w:p>
            <w:pPr>
              <w:spacing w:after="0"/>
            </w:pPr>
            <w:r/>
            <w:r>
              <w:rPr>
                <w:rFonts w:ascii="Aptos" w:hAnsi="Aptos"/>
                <w:b w:val="0"/>
                <w:color w:val="18324A"/>
                <w:sz w:val="16"/>
              </w:rPr>
              <w:t>Handlers, database, fee/rate configuration</w:t>
            </w:r>
          </w:p>
        </w:tc>
      </w:tr>
      <w:tr>
        <w:tc>
          <w:tcPr>
            <w:tcW w:type="dxa" w:w="1944"/>
            <w:vAlign w:val="center"/>
            <w:shd w:fill="F3F5F7"/>
          </w:tcPr>
          <w:p>
            <w:pPr>
              <w:spacing w:after="0"/>
            </w:pPr>
            <w:r/>
            <w:r>
              <w:rPr>
                <w:rFonts w:ascii="Aptos" w:hAnsi="Aptos"/>
                <w:b w:val="0"/>
                <w:color w:val="18324A"/>
                <w:sz w:val="16"/>
              </w:rPr>
              <w:t>config/database.py</w:t>
            </w:r>
          </w:p>
        </w:tc>
        <w:tc>
          <w:tcPr>
            <w:tcW w:type="dxa" w:w="4680"/>
            <w:vAlign w:val="center"/>
            <w:shd w:fill="F3F5F7"/>
          </w:tcPr>
          <w:p>
            <w:pPr>
              <w:spacing w:after="0"/>
            </w:pPr>
            <w:r/>
            <w:r>
              <w:rPr>
                <w:rFonts w:ascii="Aptos" w:hAnsi="Aptos"/>
                <w:b w:val="0"/>
                <w:color w:val="18324A"/>
                <w:sz w:val="16"/>
              </w:rPr>
              <w:t>Async engine and session lifecycle; startup table creation.</w:t>
            </w:r>
          </w:p>
        </w:tc>
        <w:tc>
          <w:tcPr>
            <w:tcW w:type="dxa" w:w="3240"/>
            <w:vAlign w:val="center"/>
            <w:shd w:fill="F3F5F7"/>
          </w:tcPr>
          <w:p>
            <w:pPr>
              <w:spacing w:after="0"/>
            </w:pPr>
            <w:r/>
            <w:r>
              <w:rPr>
                <w:rFonts w:ascii="Aptos" w:hAnsi="Aptos"/>
                <w:b w:val="0"/>
                <w:color w:val="18324A"/>
                <w:sz w:val="16"/>
              </w:rPr>
              <w:t>PostgreSQL, SQLAlchemy, model metadata</w:t>
            </w:r>
          </w:p>
        </w:tc>
      </w:tr>
      <w:tr>
        <w:tc>
          <w:tcPr>
            <w:tcW w:type="dxa" w:w="1944"/>
            <w:vAlign w:val="center"/>
          </w:tcPr>
          <w:p>
            <w:pPr>
              <w:spacing w:after="0"/>
            </w:pPr>
            <w:r/>
            <w:r>
              <w:rPr>
                <w:rFonts w:ascii="Aptos" w:hAnsi="Aptos"/>
                <w:b w:val="0"/>
                <w:color w:val="18324A"/>
                <w:sz w:val="16"/>
              </w:rPr>
              <w:t>config/rate_config.py</w:t>
            </w:r>
          </w:p>
        </w:tc>
        <w:tc>
          <w:tcPr>
            <w:tcW w:type="dxa" w:w="4680"/>
            <w:vAlign w:val="center"/>
          </w:tcPr>
          <w:p>
            <w:pPr>
              <w:spacing w:after="0"/>
            </w:pPr>
            <w:r/>
            <w:r>
              <w:rPr>
                <w:rFonts w:ascii="Aptos" w:hAnsi="Aptos"/>
                <w:b w:val="0"/>
                <w:color w:val="18324A"/>
                <w:sz w:val="16"/>
              </w:rPr>
              <w:t>In-memory exchange overrides and prioritized fee-rule evaluation.</w:t>
            </w:r>
          </w:p>
        </w:tc>
        <w:tc>
          <w:tcPr>
            <w:tcW w:type="dxa" w:w="3240"/>
            <w:vAlign w:val="center"/>
          </w:tcPr>
          <w:p>
            <w:pPr>
              <w:spacing w:after="0"/>
            </w:pPr>
            <w:r/>
            <w:r>
              <w:rPr>
                <w:rFonts w:ascii="Aptos" w:hAnsi="Aptos"/>
                <w:b w:val="0"/>
                <w:color w:val="18324A"/>
                <w:sz w:val="16"/>
              </w:rPr>
              <w:t>RateOverride and FeeRule tables</w:t>
            </w:r>
          </w:p>
        </w:tc>
      </w:tr>
      <w:tr>
        <w:tc>
          <w:tcPr>
            <w:tcW w:type="dxa" w:w="1944"/>
            <w:vAlign w:val="center"/>
            <w:shd w:fill="F3F5F7"/>
          </w:tcPr>
          <w:p>
            <w:pPr>
              <w:spacing w:after="0"/>
            </w:pPr>
            <w:r/>
            <w:r>
              <w:rPr>
                <w:rFonts w:ascii="Aptos" w:hAnsi="Aptos"/>
                <w:b w:val="0"/>
                <w:color w:val="18324A"/>
                <w:sz w:val="16"/>
              </w:rPr>
              <w:t>middleware/</w:t>
            </w:r>
          </w:p>
        </w:tc>
        <w:tc>
          <w:tcPr>
            <w:tcW w:type="dxa" w:w="4680"/>
            <w:vAlign w:val="center"/>
            <w:shd w:fill="F3F5F7"/>
          </w:tcPr>
          <w:p>
            <w:pPr>
              <w:spacing w:after="0"/>
            </w:pPr>
            <w:r/>
            <w:r>
              <w:rPr>
                <w:rFonts w:ascii="Aptos" w:hAnsi="Aptos"/>
                <w:b w:val="0"/>
                <w:color w:val="18324A"/>
                <w:sz w:val="16"/>
              </w:rPr>
              <w:t>JWT validation, admin roles and process-local IP throttling.</w:t>
            </w:r>
          </w:p>
        </w:tc>
        <w:tc>
          <w:tcPr>
            <w:tcW w:type="dxa" w:w="3240"/>
            <w:vAlign w:val="center"/>
            <w:shd w:fill="F3F5F7"/>
          </w:tcPr>
          <w:p>
            <w:pPr>
              <w:spacing w:after="0"/>
            </w:pPr>
            <w:r/>
            <w:r>
              <w:rPr>
                <w:rFonts w:ascii="Aptos" w:hAnsi="Aptos"/>
                <w:b w:val="0"/>
                <w:color w:val="18324A"/>
                <w:sz w:val="16"/>
              </w:rPr>
              <w:t>FastAPI, PyJWT, environment settings</w:t>
            </w:r>
          </w:p>
        </w:tc>
      </w:tr>
      <w:tr>
        <w:tc>
          <w:tcPr>
            <w:tcW w:type="dxa" w:w="1944"/>
            <w:vAlign w:val="center"/>
          </w:tcPr>
          <w:p>
            <w:pPr>
              <w:spacing w:after="0"/>
            </w:pPr>
            <w:r/>
            <w:r>
              <w:rPr>
                <w:rFonts w:ascii="Aptos" w:hAnsi="Aptos"/>
                <w:b w:val="0"/>
                <w:color w:val="18324A"/>
                <w:sz w:val="16"/>
              </w:rPr>
              <w:t>models/</w:t>
            </w:r>
          </w:p>
        </w:tc>
        <w:tc>
          <w:tcPr>
            <w:tcW w:type="dxa" w:w="4680"/>
            <w:vAlign w:val="center"/>
          </w:tcPr>
          <w:p>
            <w:pPr>
              <w:spacing w:after="0"/>
            </w:pPr>
            <w:r/>
            <w:r>
              <w:rPr>
                <w:rFonts w:ascii="Aptos" w:hAnsi="Aptos"/>
                <w:b w:val="0"/>
                <w:color w:val="18324A"/>
                <w:sz w:val="16"/>
              </w:rPr>
              <w:t>Users, wallets, transactions, payment methods, KYC and configuration records.</w:t>
            </w:r>
          </w:p>
        </w:tc>
        <w:tc>
          <w:tcPr>
            <w:tcW w:type="dxa" w:w="3240"/>
            <w:vAlign w:val="center"/>
          </w:tcPr>
          <w:p>
            <w:pPr>
              <w:spacing w:after="0"/>
            </w:pPr>
            <w:r/>
            <w:r>
              <w:rPr>
                <w:rFonts w:ascii="Aptos" w:hAnsi="Aptos"/>
                <w:b w:val="0"/>
                <w:color w:val="18324A"/>
                <w:sz w:val="16"/>
              </w:rPr>
              <w:t>PostgreSQL-specific SQLAlchemy types</w:t>
            </w:r>
          </w:p>
        </w:tc>
      </w:tr>
      <w:tr>
        <w:tc>
          <w:tcPr>
            <w:tcW w:type="dxa" w:w="1944"/>
            <w:vAlign w:val="center"/>
            <w:shd w:fill="F3F5F7"/>
          </w:tcPr>
          <w:p>
            <w:pPr>
              <w:spacing w:after="0"/>
            </w:pPr>
            <w:r/>
            <w:r>
              <w:rPr>
                <w:rFonts w:ascii="Aptos" w:hAnsi="Aptos"/>
                <w:b w:val="0"/>
                <w:color w:val="18324A"/>
                <w:sz w:val="16"/>
              </w:rPr>
              <w:t>handlers/</w:t>
            </w:r>
          </w:p>
        </w:tc>
        <w:tc>
          <w:tcPr>
            <w:tcW w:type="dxa" w:w="4680"/>
            <w:vAlign w:val="center"/>
            <w:shd w:fill="F3F5F7"/>
          </w:tcPr>
          <w:p>
            <w:pPr>
              <w:spacing w:after="0"/>
            </w:pPr>
            <w:r/>
            <w:r>
              <w:rPr>
                <w:rFonts w:ascii="Aptos" w:hAnsi="Aptos"/>
                <w:b w:val="0"/>
                <w:color w:val="18324A"/>
                <w:sz w:val="16"/>
              </w:rPr>
              <w:t>API contracts, use-case workflows, SQL and response construction.</w:t>
            </w:r>
          </w:p>
        </w:tc>
        <w:tc>
          <w:tcPr>
            <w:tcW w:type="dxa" w:w="3240"/>
            <w:vAlign w:val="center"/>
            <w:shd w:fill="F3F5F7"/>
          </w:tcPr>
          <w:p>
            <w:pPr>
              <w:spacing w:after="0"/>
            </w:pPr>
            <w:r/>
            <w:r>
              <w:rPr>
                <w:rFonts w:ascii="Aptos" w:hAnsi="Aptos"/>
                <w:b w:val="0"/>
                <w:color w:val="18324A"/>
                <w:sz w:val="16"/>
              </w:rPr>
              <w:t>Models, middleware, config, services</w:t>
            </w:r>
          </w:p>
        </w:tc>
      </w:tr>
      <w:tr>
        <w:tc>
          <w:tcPr>
            <w:tcW w:type="dxa" w:w="1944"/>
            <w:vAlign w:val="center"/>
          </w:tcPr>
          <w:p>
            <w:pPr>
              <w:spacing w:after="0"/>
            </w:pPr>
            <w:r/>
            <w:r>
              <w:rPr>
                <w:rFonts w:ascii="Aptos" w:hAnsi="Aptos"/>
                <w:b w:val="0"/>
                <w:color w:val="18324A"/>
                <w:sz w:val="16"/>
              </w:rPr>
              <w:t>services/</w:t>
            </w:r>
          </w:p>
        </w:tc>
        <w:tc>
          <w:tcPr>
            <w:tcW w:type="dxa" w:w="4680"/>
            <w:vAlign w:val="center"/>
          </w:tcPr>
          <w:p>
            <w:pPr>
              <w:spacing w:after="0"/>
            </w:pPr>
            <w:r/>
            <w:r>
              <w:rPr>
                <w:rFonts w:ascii="Aptos" w:hAnsi="Aptos"/>
                <w:b w:val="0"/>
                <w:color w:val="18324A"/>
                <w:sz w:val="16"/>
              </w:rPr>
              <w:t>ACH, card, Stripe-like, Wave, SMS, Twilio and SMTP adapters.</w:t>
            </w:r>
          </w:p>
        </w:tc>
        <w:tc>
          <w:tcPr>
            <w:tcW w:type="dxa" w:w="3240"/>
            <w:vAlign w:val="center"/>
          </w:tcPr>
          <w:p>
            <w:pPr>
              <w:spacing w:after="0"/>
            </w:pPr>
            <w:r/>
            <w:r>
              <w:rPr>
                <w:rFonts w:ascii="Aptos" w:hAnsi="Aptos"/>
                <w:b w:val="0"/>
                <w:color w:val="18324A"/>
                <w:sz w:val="16"/>
              </w:rPr>
              <w:t>httpx, Twilio, environment/DB configuration</w:t>
            </w:r>
          </w:p>
        </w:tc>
      </w:tr>
      <w:tr>
        <w:tc>
          <w:tcPr>
            <w:tcW w:type="dxa" w:w="1944"/>
            <w:vAlign w:val="center"/>
            <w:shd w:fill="F3F5F7"/>
          </w:tcPr>
          <w:p>
            <w:pPr>
              <w:spacing w:after="0"/>
            </w:pPr>
            <w:r/>
            <w:r>
              <w:rPr>
                <w:rFonts w:ascii="Aptos" w:hAnsi="Aptos"/>
                <w:b w:val="0"/>
                <w:color w:val="18324A"/>
                <w:sz w:val="16"/>
              </w:rPr>
              <w:t>alembic/</w:t>
            </w:r>
          </w:p>
        </w:tc>
        <w:tc>
          <w:tcPr>
            <w:tcW w:type="dxa" w:w="4680"/>
            <w:vAlign w:val="center"/>
            <w:shd w:fill="F3F5F7"/>
          </w:tcPr>
          <w:p>
            <w:pPr>
              <w:spacing w:after="0"/>
            </w:pPr>
            <w:r/>
            <w:r>
              <w:rPr>
                <w:rFonts w:ascii="Aptos" w:hAnsi="Aptos"/>
                <w:b w:val="0"/>
                <w:color w:val="18324A"/>
                <w:sz w:val="16"/>
              </w:rPr>
              <w:t>Versioned relational schema migrations.</w:t>
            </w:r>
          </w:p>
        </w:tc>
        <w:tc>
          <w:tcPr>
            <w:tcW w:type="dxa" w:w="3240"/>
            <w:vAlign w:val="center"/>
            <w:shd w:fill="F3F5F7"/>
          </w:tcPr>
          <w:p>
            <w:pPr>
              <w:spacing w:after="0"/>
            </w:pPr>
            <w:r/>
            <w:r>
              <w:rPr>
                <w:rFonts w:ascii="Aptos" w:hAnsi="Aptos"/>
                <w:b w:val="0"/>
                <w:color w:val="18324A"/>
                <w:sz w:val="16"/>
              </w:rPr>
              <w:t>SQLAlchemy metadata and PostgreSQL</w:t>
            </w:r>
          </w:p>
        </w:tc>
      </w:tr>
    </w:tbl>
    <w:p>
      <w:pPr>
        <w:spacing w:after="0"/>
      </w:pPr>
    </w:p>
    <w:p>
      <w:pPr>
        <w:pStyle w:val="Heading2"/>
        <w:keepNext/>
      </w:pPr>
      <w:r>
        <w:t>Feature map</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8324A"/>
          </w:tcPr>
          <w:p>
            <w:pPr>
              <w:spacing w:after="0"/>
            </w:pPr>
            <w:r/>
            <w:r>
              <w:rPr>
                <w:rFonts w:ascii="Aptos" w:hAnsi="Aptos"/>
                <w:b/>
                <w:color w:val="FFFFFF"/>
                <w:sz w:val="16"/>
              </w:rPr>
              <w:t>Feature</w:t>
            </w:r>
          </w:p>
        </w:tc>
        <w:tc>
          <w:tcPr>
            <w:tcW w:type="dxa" w:w="5256"/>
            <w:vAlign w:val="center"/>
            <w:shd w:fill="18324A"/>
          </w:tcPr>
          <w:p>
            <w:pPr>
              <w:spacing w:after="0"/>
            </w:pPr>
            <w:r/>
            <w:r>
              <w:rPr>
                <w:rFonts w:ascii="Aptos" w:hAnsi="Aptos"/>
                <w:b/>
                <w:color w:val="FFFFFF"/>
                <w:sz w:val="16"/>
              </w:rPr>
              <w:t>Capabilities</w:t>
            </w:r>
          </w:p>
        </w:tc>
        <w:tc>
          <w:tcPr>
            <w:tcW w:type="dxa" w:w="2880"/>
            <w:vAlign w:val="center"/>
            <w:shd w:fill="18324A"/>
          </w:tcPr>
          <w:p>
            <w:pPr>
              <w:spacing w:after="0"/>
            </w:pPr>
            <w:r/>
            <w:r>
              <w:rPr>
                <w:rFonts w:ascii="Aptos" w:hAnsi="Aptos"/>
                <w:b/>
                <w:color w:val="FFFFFF"/>
                <w:sz w:val="16"/>
              </w:rPr>
              <w:t>Core records</w:t>
            </w:r>
          </w:p>
        </w:tc>
      </w:tr>
      <w:tr>
        <w:tc>
          <w:tcPr>
            <w:tcW w:type="dxa" w:w="1728"/>
            <w:vAlign w:val="center"/>
          </w:tcPr>
          <w:p>
            <w:pPr>
              <w:spacing w:after="0"/>
            </w:pPr>
            <w:r/>
            <w:r>
              <w:rPr>
                <w:rFonts w:ascii="Aptos" w:hAnsi="Aptos"/>
                <w:b w:val="0"/>
                <w:color w:val="18324A"/>
                <w:sz w:val="16"/>
              </w:rPr>
              <w:t>Identity</w:t>
            </w:r>
          </w:p>
        </w:tc>
        <w:tc>
          <w:tcPr>
            <w:tcW w:type="dxa" w:w="5256"/>
            <w:vAlign w:val="center"/>
          </w:tcPr>
          <w:p>
            <w:pPr>
              <w:spacing w:after="0"/>
            </w:pPr>
            <w:r/>
            <w:r>
              <w:rPr>
                <w:rFonts w:ascii="Aptos" w:hAnsi="Aptos"/>
                <w:b w:val="0"/>
                <w:color w:val="18324A"/>
                <w:sz w:val="16"/>
              </w:rPr>
              <w:t>Registration, OTP verification, PIN login, JWT issuance</w:t>
            </w:r>
          </w:p>
        </w:tc>
        <w:tc>
          <w:tcPr>
            <w:tcW w:type="dxa" w:w="2880"/>
            <w:vAlign w:val="center"/>
          </w:tcPr>
          <w:p>
            <w:pPr>
              <w:spacing w:after="0"/>
            </w:pPr>
            <w:r/>
            <w:r>
              <w:rPr>
                <w:rFonts w:ascii="Aptos" w:hAnsi="Aptos"/>
                <w:b w:val="0"/>
                <w:color w:val="18324A"/>
                <w:sz w:val="16"/>
              </w:rPr>
              <w:t>User, OTP, Wallet</w:t>
            </w:r>
          </w:p>
        </w:tc>
      </w:tr>
      <w:tr>
        <w:tc>
          <w:tcPr>
            <w:tcW w:type="dxa" w:w="1728"/>
            <w:vAlign w:val="center"/>
            <w:shd w:fill="F3F5F7"/>
          </w:tcPr>
          <w:p>
            <w:pPr>
              <w:spacing w:after="0"/>
            </w:pPr>
            <w:r/>
            <w:r>
              <w:rPr>
                <w:rFonts w:ascii="Aptos" w:hAnsi="Aptos"/>
                <w:b w:val="0"/>
                <w:color w:val="18324A"/>
                <w:sz w:val="16"/>
              </w:rPr>
              <w:t>Wallet</w:t>
            </w:r>
          </w:p>
        </w:tc>
        <w:tc>
          <w:tcPr>
            <w:tcW w:type="dxa" w:w="5256"/>
            <w:vAlign w:val="center"/>
            <w:shd w:fill="F3F5F7"/>
          </w:tcPr>
          <w:p>
            <w:pPr>
              <w:spacing w:after="0"/>
            </w:pPr>
            <w:r/>
            <w:r>
              <w:rPr>
                <w:rFonts w:ascii="Aptos" w:hAnsi="Aptos"/>
                <w:b w:val="0"/>
                <w:color w:val="18324A"/>
                <w:sz w:val="16"/>
              </w:rPr>
              <w:t>Balance and transaction history</w:t>
            </w:r>
          </w:p>
        </w:tc>
        <w:tc>
          <w:tcPr>
            <w:tcW w:type="dxa" w:w="2880"/>
            <w:vAlign w:val="center"/>
            <w:shd w:fill="F3F5F7"/>
          </w:tcPr>
          <w:p>
            <w:pPr>
              <w:spacing w:after="0"/>
            </w:pPr>
            <w:r/>
            <w:r>
              <w:rPr>
                <w:rFonts w:ascii="Aptos" w:hAnsi="Aptos"/>
                <w:b w:val="0"/>
                <w:color w:val="18324A"/>
                <w:sz w:val="16"/>
              </w:rPr>
              <w:t>Wallet, Transaction</w:t>
            </w:r>
          </w:p>
        </w:tc>
      </w:tr>
      <w:tr>
        <w:tc>
          <w:tcPr>
            <w:tcW w:type="dxa" w:w="1728"/>
            <w:vAlign w:val="center"/>
          </w:tcPr>
          <w:p>
            <w:pPr>
              <w:spacing w:after="0"/>
            </w:pPr>
            <w:r/>
            <w:r>
              <w:rPr>
                <w:rFonts w:ascii="Aptos" w:hAnsi="Aptos"/>
                <w:b w:val="0"/>
                <w:color w:val="18324A"/>
                <w:sz w:val="16"/>
              </w:rPr>
              <w:t>Transfers</w:t>
            </w:r>
          </w:p>
        </w:tc>
        <w:tc>
          <w:tcPr>
            <w:tcW w:type="dxa" w:w="5256"/>
            <w:vAlign w:val="center"/>
          </w:tcPr>
          <w:p>
            <w:pPr>
              <w:spacing w:after="0"/>
            </w:pPr>
            <w:r/>
            <w:r>
              <w:rPr>
                <w:rFonts w:ascii="Aptos" w:hAnsi="Aptos"/>
                <w:b w:val="0"/>
                <w:color w:val="18324A"/>
                <w:sz w:val="16"/>
              </w:rPr>
              <w:t>Quote, wallet transfer, requests, cash pickup, Wave</w:t>
            </w:r>
          </w:p>
        </w:tc>
        <w:tc>
          <w:tcPr>
            <w:tcW w:type="dxa" w:w="2880"/>
            <w:vAlign w:val="center"/>
          </w:tcPr>
          <w:p>
            <w:pPr>
              <w:spacing w:after="0"/>
            </w:pPr>
            <w:r/>
            <w:r>
              <w:rPr>
                <w:rFonts w:ascii="Aptos" w:hAnsi="Aptos"/>
                <w:b w:val="0"/>
                <w:color w:val="18324A"/>
                <w:sz w:val="16"/>
              </w:rPr>
              <w:t>Wallet, Transaction, MoneyRequest</w:t>
            </w:r>
          </w:p>
        </w:tc>
      </w:tr>
      <w:tr>
        <w:tc>
          <w:tcPr>
            <w:tcW w:type="dxa" w:w="1728"/>
            <w:vAlign w:val="center"/>
            <w:shd w:fill="F3F5F7"/>
          </w:tcPr>
          <w:p>
            <w:pPr>
              <w:spacing w:after="0"/>
            </w:pPr>
            <w:r/>
            <w:r>
              <w:rPr>
                <w:rFonts w:ascii="Aptos" w:hAnsi="Aptos"/>
                <w:b w:val="0"/>
                <w:color w:val="18324A"/>
                <w:sz w:val="16"/>
              </w:rPr>
              <w:t>Payments</w:t>
            </w:r>
          </w:p>
        </w:tc>
        <w:tc>
          <w:tcPr>
            <w:tcW w:type="dxa" w:w="5256"/>
            <w:vAlign w:val="center"/>
            <w:shd w:fill="F3F5F7"/>
          </w:tcPr>
          <w:p>
            <w:pPr>
              <w:spacing w:after="0"/>
            </w:pPr>
            <w:r/>
            <w:r>
              <w:rPr>
                <w:rFonts w:ascii="Aptos" w:hAnsi="Aptos"/>
                <w:b w:val="0"/>
                <w:color w:val="18324A"/>
                <w:sz w:val="16"/>
              </w:rPr>
              <w:t>Saved methods, card funding, ACH debit/credit</w:t>
            </w:r>
          </w:p>
        </w:tc>
        <w:tc>
          <w:tcPr>
            <w:tcW w:type="dxa" w:w="2880"/>
            <w:vAlign w:val="center"/>
            <w:shd w:fill="F3F5F7"/>
          </w:tcPr>
          <w:p>
            <w:pPr>
              <w:spacing w:after="0"/>
            </w:pPr>
            <w:r/>
            <w:r>
              <w:rPr>
                <w:rFonts w:ascii="Aptos" w:hAnsi="Aptos"/>
                <w:b w:val="0"/>
                <w:color w:val="18324A"/>
                <w:sz w:val="16"/>
              </w:rPr>
              <w:t>PaymentMethod, Wallet, Transaction</w:t>
            </w:r>
          </w:p>
        </w:tc>
      </w:tr>
      <w:tr>
        <w:tc>
          <w:tcPr>
            <w:tcW w:type="dxa" w:w="1728"/>
            <w:vAlign w:val="center"/>
          </w:tcPr>
          <w:p>
            <w:pPr>
              <w:spacing w:after="0"/>
            </w:pPr>
            <w:r/>
            <w:r>
              <w:rPr>
                <w:rFonts w:ascii="Aptos" w:hAnsi="Aptos"/>
                <w:b w:val="0"/>
                <w:color w:val="18324A"/>
                <w:sz w:val="16"/>
              </w:rPr>
              <w:t>KYC</w:t>
            </w:r>
          </w:p>
        </w:tc>
        <w:tc>
          <w:tcPr>
            <w:tcW w:type="dxa" w:w="5256"/>
            <w:vAlign w:val="center"/>
          </w:tcPr>
          <w:p>
            <w:pPr>
              <w:spacing w:after="0"/>
            </w:pPr>
            <w:r/>
            <w:r>
              <w:rPr>
                <w:rFonts w:ascii="Aptos" w:hAnsi="Aptos"/>
                <w:b w:val="0"/>
                <w:color w:val="18324A"/>
                <w:sz w:val="16"/>
              </w:rPr>
              <w:t>Submission, status and review</w:t>
            </w:r>
          </w:p>
        </w:tc>
        <w:tc>
          <w:tcPr>
            <w:tcW w:type="dxa" w:w="2880"/>
            <w:vAlign w:val="center"/>
          </w:tcPr>
          <w:p>
            <w:pPr>
              <w:spacing w:after="0"/>
            </w:pPr>
            <w:r/>
            <w:r>
              <w:rPr>
                <w:rFonts w:ascii="Aptos" w:hAnsi="Aptos"/>
                <w:b w:val="0"/>
                <w:color w:val="18324A"/>
                <w:sz w:val="16"/>
              </w:rPr>
              <w:t>KYCSubmission, User</w:t>
            </w:r>
          </w:p>
        </w:tc>
      </w:tr>
      <w:tr>
        <w:tc>
          <w:tcPr>
            <w:tcW w:type="dxa" w:w="1728"/>
            <w:vAlign w:val="center"/>
            <w:shd w:fill="F3F5F7"/>
          </w:tcPr>
          <w:p>
            <w:pPr>
              <w:spacing w:after="0"/>
            </w:pPr>
            <w:r/>
            <w:r>
              <w:rPr>
                <w:rFonts w:ascii="Aptos" w:hAnsi="Aptos"/>
                <w:b w:val="0"/>
                <w:color w:val="18324A"/>
                <w:sz w:val="16"/>
              </w:rPr>
              <w:t>Administration</w:t>
            </w:r>
          </w:p>
        </w:tc>
        <w:tc>
          <w:tcPr>
            <w:tcW w:type="dxa" w:w="5256"/>
            <w:vAlign w:val="center"/>
            <w:shd w:fill="F3F5F7"/>
          </w:tcPr>
          <w:p>
            <w:pPr>
              <w:spacing w:after="0"/>
            </w:pPr>
            <w:r/>
            <w:r>
              <w:rPr>
                <w:rFonts w:ascii="Aptos" w:hAnsi="Aptos"/>
                <w:b w:val="0"/>
                <w:color w:val="18324A"/>
                <w:sz w:val="16"/>
              </w:rPr>
              <w:t>Users, wallets, banks, fees, rates, agents and provider settings</w:t>
            </w:r>
          </w:p>
        </w:tc>
        <w:tc>
          <w:tcPr>
            <w:tcW w:type="dxa" w:w="2880"/>
            <w:vAlign w:val="center"/>
            <w:shd w:fill="F3F5F7"/>
          </w:tcPr>
          <w:p>
            <w:pPr>
              <w:spacing w:after="0"/>
            </w:pPr>
            <w:r/>
            <w:r>
              <w:rPr>
                <w:rFonts w:ascii="Aptos" w:hAnsi="Aptos"/>
                <w:b w:val="0"/>
                <w:color w:val="18324A"/>
                <w:sz w:val="16"/>
              </w:rPr>
              <w:t>Most domain/configuration tables</w:t>
            </w:r>
          </w:p>
        </w:tc>
      </w:tr>
      <w:tr>
        <w:tc>
          <w:tcPr>
            <w:tcW w:type="dxa" w:w="1728"/>
            <w:vAlign w:val="center"/>
          </w:tcPr>
          <w:p>
            <w:pPr>
              <w:spacing w:after="0"/>
            </w:pPr>
            <w:r/>
            <w:r>
              <w:rPr>
                <w:rFonts w:ascii="Aptos" w:hAnsi="Aptos"/>
                <w:b w:val="0"/>
                <w:color w:val="18324A"/>
                <w:sz w:val="16"/>
              </w:rPr>
              <w:t>Support</w:t>
            </w:r>
          </w:p>
        </w:tc>
        <w:tc>
          <w:tcPr>
            <w:tcW w:type="dxa" w:w="5256"/>
            <w:vAlign w:val="center"/>
          </w:tcPr>
          <w:p>
            <w:pPr>
              <w:spacing w:after="0"/>
            </w:pPr>
            <w:r/>
            <w:r>
              <w:rPr>
                <w:rFonts w:ascii="Aptos" w:hAnsi="Aptos"/>
                <w:b w:val="0"/>
                <w:color w:val="18324A"/>
                <w:sz w:val="16"/>
              </w:rPr>
              <w:t>Recipients, QR, notification, email and exchange rates</w:t>
            </w:r>
          </w:p>
        </w:tc>
        <w:tc>
          <w:tcPr>
            <w:tcW w:type="dxa" w:w="2880"/>
            <w:vAlign w:val="center"/>
          </w:tcPr>
          <w:p>
            <w:pPr>
              <w:spacing w:after="0"/>
            </w:pPr>
            <w:r/>
            <w:r>
              <w:rPr>
                <w:rFonts w:ascii="Aptos" w:hAnsi="Aptos"/>
                <w:b w:val="0"/>
                <w:color w:val="18324A"/>
                <w:sz w:val="16"/>
              </w:rPr>
              <w:t>Recipient, Notification</w:t>
            </w:r>
          </w:p>
        </w:tc>
      </w:tr>
    </w:tbl>
    <w:p>
      <w:pPr>
        <w:spacing w:after="0"/>
      </w:pPr>
    </w:p>
    <w:p>
      <w:pPr>
        <w:pStyle w:val="Heading1"/>
        <w:keepNext/>
      </w:pPr>
      <w:r>
        <w:t>4. Dependency Structure</w:t>
      </w:r>
    </w:p>
    <w:p>
      <w:r>
        <w:t>The source dependency direction is mostly clean and acyclic: application composition depends on handlers; handlers depend on authentication, configuration, models, services, and utilities. The weakness is not circularity but boundary depth—handlers directly know almost every implementation detail.</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8324A"/>
          </w:tcPr>
          <w:p>
            <w:pPr>
              <w:spacing w:after="0"/>
            </w:pPr>
            <w:r/>
            <w:r>
              <w:rPr>
                <w:rFonts w:ascii="Aptos" w:hAnsi="Aptos"/>
                <w:b/>
                <w:color w:val="FFFFFF"/>
                <w:sz w:val="16"/>
              </w:rPr>
              <w:t>Layer</w:t>
            </w:r>
          </w:p>
        </w:tc>
        <w:tc>
          <w:tcPr>
            <w:tcW w:type="dxa" w:w="3744"/>
            <w:vAlign w:val="center"/>
            <w:shd w:fill="18324A"/>
          </w:tcPr>
          <w:p>
            <w:pPr>
              <w:spacing w:after="0"/>
            </w:pPr>
            <w:r/>
            <w:r>
              <w:rPr>
                <w:rFonts w:ascii="Aptos" w:hAnsi="Aptos"/>
                <w:b/>
                <w:color w:val="FFFFFF"/>
                <w:sz w:val="16"/>
              </w:rPr>
              <w:t>Depends on</w:t>
            </w:r>
          </w:p>
        </w:tc>
        <w:tc>
          <w:tcPr>
            <w:tcW w:type="dxa" w:w="4032"/>
            <w:vAlign w:val="center"/>
            <w:shd w:fill="18324A"/>
          </w:tcPr>
          <w:p>
            <w:pPr>
              <w:spacing w:after="0"/>
            </w:pPr>
            <w:r/>
            <w:r>
              <w:rPr>
                <w:rFonts w:ascii="Aptos" w:hAnsi="Aptos"/>
                <w:b/>
                <w:color w:val="FFFFFF"/>
                <w:sz w:val="16"/>
              </w:rPr>
              <w:t>Boundary assessment</w:t>
            </w:r>
          </w:p>
        </w:tc>
      </w:tr>
      <w:tr>
        <w:tc>
          <w:tcPr>
            <w:tcW w:type="dxa" w:w="2088"/>
            <w:vAlign w:val="center"/>
          </w:tcPr>
          <w:p>
            <w:pPr>
              <w:spacing w:after="0"/>
            </w:pPr>
            <w:r/>
            <w:r>
              <w:rPr>
                <w:rFonts w:ascii="Aptos" w:hAnsi="Aptos"/>
                <w:b w:val="0"/>
                <w:color w:val="18324A"/>
                <w:sz w:val="16"/>
              </w:rPr>
              <w:t>Application composition</w:t>
            </w:r>
          </w:p>
        </w:tc>
        <w:tc>
          <w:tcPr>
            <w:tcW w:type="dxa" w:w="3744"/>
            <w:vAlign w:val="center"/>
          </w:tcPr>
          <w:p>
            <w:pPr>
              <w:spacing w:after="0"/>
            </w:pPr>
            <w:r/>
            <w:r>
              <w:rPr>
                <w:rFonts w:ascii="Aptos" w:hAnsi="Aptos"/>
                <w:b w:val="0"/>
                <w:color w:val="18324A"/>
                <w:sz w:val="16"/>
              </w:rPr>
              <w:t>Handlers, database lifecycle, middleware</w:t>
            </w:r>
          </w:p>
        </w:tc>
        <w:tc>
          <w:tcPr>
            <w:tcW w:type="dxa" w:w="4032"/>
            <w:vAlign w:val="center"/>
          </w:tcPr>
          <w:p>
            <w:pPr>
              <w:spacing w:after="0"/>
            </w:pPr>
            <w:r/>
            <w:r>
              <w:rPr>
                <w:rFonts w:ascii="Aptos" w:hAnsi="Aptos"/>
                <w:b w:val="0"/>
                <w:color w:val="18324A"/>
                <w:sz w:val="16"/>
              </w:rPr>
              <w:t>Clear composition root</w:t>
            </w:r>
          </w:p>
        </w:tc>
      </w:tr>
      <w:tr>
        <w:tc>
          <w:tcPr>
            <w:tcW w:type="dxa" w:w="2088"/>
            <w:vAlign w:val="center"/>
            <w:shd w:fill="F3F5F7"/>
          </w:tcPr>
          <w:p>
            <w:pPr>
              <w:spacing w:after="0"/>
            </w:pPr>
            <w:r/>
            <w:r>
              <w:rPr>
                <w:rFonts w:ascii="Aptos" w:hAnsi="Aptos"/>
                <w:b w:val="0"/>
                <w:color w:val="18324A"/>
                <w:sz w:val="16"/>
              </w:rPr>
              <w:t>HTTP handlers</w:t>
            </w:r>
          </w:p>
        </w:tc>
        <w:tc>
          <w:tcPr>
            <w:tcW w:type="dxa" w:w="3744"/>
            <w:vAlign w:val="center"/>
            <w:shd w:fill="F3F5F7"/>
          </w:tcPr>
          <w:p>
            <w:pPr>
              <w:spacing w:after="0"/>
            </w:pPr>
            <w:r/>
            <w:r>
              <w:rPr>
                <w:rFonts w:ascii="Aptos" w:hAnsi="Aptos"/>
                <w:b w:val="0"/>
                <w:color w:val="18324A"/>
                <w:sz w:val="16"/>
              </w:rPr>
              <w:t>Concrete models, SQLAlchemy, configuration and providers</w:t>
            </w:r>
          </w:p>
        </w:tc>
        <w:tc>
          <w:tcPr>
            <w:tcW w:type="dxa" w:w="4032"/>
            <w:vAlign w:val="center"/>
            <w:shd w:fill="F3F5F7"/>
          </w:tcPr>
          <w:p>
            <w:pPr>
              <w:spacing w:after="0"/>
            </w:pPr>
            <w:r/>
            <w:r>
              <w:rPr>
                <w:rFonts w:ascii="Aptos" w:hAnsi="Aptos"/>
                <w:b w:val="0"/>
                <w:color w:val="18324A"/>
                <w:sz w:val="16"/>
              </w:rPr>
              <w:t>Highly coupled; business layer absent</w:t>
            </w:r>
          </w:p>
        </w:tc>
      </w:tr>
      <w:tr>
        <w:tc>
          <w:tcPr>
            <w:tcW w:type="dxa" w:w="2088"/>
            <w:vAlign w:val="center"/>
          </w:tcPr>
          <w:p>
            <w:pPr>
              <w:spacing w:after="0"/>
            </w:pPr>
            <w:r/>
            <w:r>
              <w:rPr>
                <w:rFonts w:ascii="Aptos" w:hAnsi="Aptos"/>
                <w:b w:val="0"/>
                <w:color w:val="18324A"/>
                <w:sz w:val="16"/>
              </w:rPr>
              <w:t>Configuration</w:t>
            </w:r>
          </w:p>
        </w:tc>
        <w:tc>
          <w:tcPr>
            <w:tcW w:type="dxa" w:w="3744"/>
            <w:vAlign w:val="center"/>
          </w:tcPr>
          <w:p>
            <w:pPr>
              <w:spacing w:after="0"/>
            </w:pPr>
            <w:r/>
            <w:r>
              <w:rPr>
                <w:rFonts w:ascii="Aptos" w:hAnsi="Aptos"/>
                <w:b w:val="0"/>
                <w:color w:val="18324A"/>
                <w:sz w:val="16"/>
              </w:rPr>
              <w:t>Environment, database models and local caches</w:t>
            </w:r>
          </w:p>
        </w:tc>
        <w:tc>
          <w:tcPr>
            <w:tcW w:type="dxa" w:w="4032"/>
            <w:vAlign w:val="center"/>
          </w:tcPr>
          <w:p>
            <w:pPr>
              <w:spacing w:after="0"/>
            </w:pPr>
            <w:r/>
            <w:r>
              <w:rPr>
                <w:rFonts w:ascii="Aptos" w:hAnsi="Aptos"/>
                <w:b w:val="0"/>
                <w:color w:val="18324A"/>
                <w:sz w:val="16"/>
              </w:rPr>
              <w:t>Mixed runtime and persistence concerns</w:t>
            </w:r>
          </w:p>
        </w:tc>
      </w:tr>
      <w:tr>
        <w:tc>
          <w:tcPr>
            <w:tcW w:type="dxa" w:w="2088"/>
            <w:vAlign w:val="center"/>
            <w:shd w:fill="F3F5F7"/>
          </w:tcPr>
          <w:p>
            <w:pPr>
              <w:spacing w:after="0"/>
            </w:pPr>
            <w:r/>
            <w:r>
              <w:rPr>
                <w:rFonts w:ascii="Aptos" w:hAnsi="Aptos"/>
                <w:b w:val="0"/>
                <w:color w:val="18324A"/>
                <w:sz w:val="16"/>
              </w:rPr>
              <w:t>Provider services</w:t>
            </w:r>
          </w:p>
        </w:tc>
        <w:tc>
          <w:tcPr>
            <w:tcW w:type="dxa" w:w="3744"/>
            <w:vAlign w:val="center"/>
            <w:shd w:fill="F3F5F7"/>
          </w:tcPr>
          <w:p>
            <w:pPr>
              <w:spacing w:after="0"/>
            </w:pPr>
            <w:r/>
            <w:r>
              <w:rPr>
                <w:rFonts w:ascii="Aptos" w:hAnsi="Aptos"/>
                <w:b w:val="0"/>
                <w:color w:val="18324A"/>
                <w:sz w:val="16"/>
              </w:rPr>
              <w:t>HTTP APIs and environment/DB configuration</w:t>
            </w:r>
          </w:p>
        </w:tc>
        <w:tc>
          <w:tcPr>
            <w:tcW w:type="dxa" w:w="4032"/>
            <w:vAlign w:val="center"/>
            <w:shd w:fill="F3F5F7"/>
          </w:tcPr>
          <w:p>
            <w:pPr>
              <w:spacing w:after="0"/>
            </w:pPr>
            <w:r/>
            <w:r>
              <w:rPr>
                <w:rFonts w:ascii="Aptos" w:hAnsi="Aptos"/>
                <w:b w:val="0"/>
                <w:color w:val="18324A"/>
                <w:sz w:val="16"/>
              </w:rPr>
              <w:t>Useful adapters, but not defined behind ports</w:t>
            </w:r>
          </w:p>
        </w:tc>
      </w:tr>
      <w:tr>
        <w:tc>
          <w:tcPr>
            <w:tcW w:type="dxa" w:w="2088"/>
            <w:vAlign w:val="center"/>
          </w:tcPr>
          <w:p>
            <w:pPr>
              <w:spacing w:after="0"/>
            </w:pPr>
            <w:r/>
            <w:r>
              <w:rPr>
                <w:rFonts w:ascii="Aptos" w:hAnsi="Aptos"/>
                <w:b w:val="0"/>
                <w:color w:val="18324A"/>
                <w:sz w:val="16"/>
              </w:rPr>
              <w:t>Persistence models</w:t>
            </w:r>
          </w:p>
        </w:tc>
        <w:tc>
          <w:tcPr>
            <w:tcW w:type="dxa" w:w="3744"/>
            <w:vAlign w:val="center"/>
          </w:tcPr>
          <w:p>
            <w:pPr>
              <w:spacing w:after="0"/>
            </w:pPr>
            <w:r/>
            <w:r>
              <w:rPr>
                <w:rFonts w:ascii="Aptos" w:hAnsi="Aptos"/>
                <w:b w:val="0"/>
                <w:color w:val="18324A"/>
                <w:sz w:val="16"/>
              </w:rPr>
              <w:t>SQLAlchemy and PostgreSQL types</w:t>
            </w:r>
          </w:p>
        </w:tc>
        <w:tc>
          <w:tcPr>
            <w:tcW w:type="dxa" w:w="4032"/>
            <w:vAlign w:val="center"/>
          </w:tcPr>
          <w:p>
            <w:pPr>
              <w:spacing w:after="0"/>
            </w:pPr>
            <w:r/>
            <w:r>
              <w:rPr>
                <w:rFonts w:ascii="Aptos" w:hAnsi="Aptos"/>
                <w:b w:val="0"/>
                <w:color w:val="18324A"/>
                <w:sz w:val="16"/>
              </w:rPr>
              <w:t>Simple, but nearly relationship-free</w:t>
            </w:r>
          </w:p>
        </w:tc>
      </w:tr>
    </w:tbl>
    <w:p>
      <w:pPr>
        <w:spacing w:after="0"/>
      </w:pPr>
    </w:p>
    <w:p>
      <w:pPr>
        <w:pStyle w:val="Heading2"/>
        <w:keepNext/>
      </w:pPr>
      <w:r>
        <w:t>Architectural hotspots</w:t>
      </w:r>
    </w:p>
    <w:p>
      <w:pPr>
        <w:pStyle w:val="ListBullet"/>
        <w:spacing w:after="40"/>
      </w:pPr>
      <w:r>
        <w:t>handlers/admin.py is approximately 1,400 lines and owns most administrative domains.</w:t>
      </w:r>
    </w:p>
    <w:p>
      <w:pPr>
        <w:pStyle w:val="ListBullet"/>
        <w:spacing w:after="40"/>
      </w:pPr>
      <w:r>
        <w:t>handlers/payment.py is approximately 1,000 lines and mixes saved methods, funding, ACH and provider details.</w:t>
      </w:r>
    </w:p>
    <w:p>
      <w:pPr>
        <w:pStyle w:val="ListBullet"/>
        <w:spacing w:after="40"/>
      </w:pPr>
      <w:r>
        <w:t>Handlers explicitly query related records because ORM relationships and repository abstractions are largely absent.</w:t>
      </w:r>
    </w:p>
    <w:p>
      <w:pPr>
        <w:pStyle w:val="ListBullet"/>
        <w:spacing w:after="40"/>
      </w:pPr>
      <w:r>
        <w:t>Admin mutations update in-process caches directly, coupling HTTP handling to runtime topology.</w:t>
      </w:r>
    </w:p>
    <w:p>
      <w:pPr>
        <w:pStyle w:val="Heading1"/>
        <w:keepNext/>
      </w:pPr>
      <w:r>
        <w:t>5. Key Data Flows</w:t>
      </w:r>
    </w:p>
    <w:p>
      <w:pPr>
        <w:pStyle w:val="Heading2"/>
        <w:keepNext/>
      </w:pPr>
      <w:r>
        <w:t>Registration and login</w:t>
      </w:r>
    </w:p>
    <w:p>
      <w:pPr>
        <w:pStyle w:val="ListNumber"/>
        <w:spacing w:after="60"/>
      </w:pPr>
      <w:r>
        <w:t>Registration creates a hashed OTP and sends it through SMS or a development fallback.</w:t>
      </w:r>
    </w:p>
    <w:p>
      <w:pPr>
        <w:pStyle w:val="ListNumber"/>
        <w:spacing w:after="60"/>
      </w:pPr>
      <w:r>
        <w:t>OTP verification marks the record verified, creates User and Wallet, and commits them together.</w:t>
      </w:r>
    </w:p>
    <w:p>
      <w:pPr>
        <w:pStyle w:val="ListNumber"/>
        <w:spacing w:after="60"/>
      </w:pPr>
      <w:r>
        <w:t>PIN login applies bcrypt verification, increments failed-attempt state, and issues a 24-hour HS256 JWT.</w:t>
      </w:r>
    </w:p>
    <w:p>
      <w:pPr>
        <w:pStyle w:val="ListNumber"/>
        <w:spacing w:after="60"/>
      </w:pPr>
      <w:r>
        <w:t>The refresh-token endpoint currently returns only a placeholder response.</w:t>
      </w:r>
    </w:p>
    <w:p>
      <w:pPr>
        <w:pStyle w:val="Heading2"/>
        <w:keepNext/>
      </w:pPr>
      <w:r>
        <w:t>Wallet-to-wallet transfer</w:t>
      </w:r>
    </w:p>
    <w:p>
      <w:pPr>
        <w:pStyle w:val="ListNumber"/>
        <w:spacing w:after="60"/>
      </w:pPr>
      <w:r>
        <w:t>JWT claims identify the sender; the recipient is resolved from a normalized phone number.</w:t>
      </w:r>
    </w:p>
    <w:p>
      <w:pPr>
        <w:pStyle w:val="ListNumber"/>
        <w:spacing w:after="60"/>
      </w:pPr>
      <w:r>
        <w:t>Sender and recipient wallets are selected with SELECT … FOR UPDATE.</w:t>
      </w:r>
    </w:p>
    <w:p>
      <w:pPr>
        <w:pStyle w:val="ListNumber"/>
        <w:spacing w:after="60"/>
      </w:pPr>
      <w:r>
        <w:t>Fee rules come from an in-memory snapshot; an override or external FX source supplies the rate.</w:t>
      </w:r>
    </w:p>
    <w:p>
      <w:pPr>
        <w:pStyle w:val="ListNumber"/>
        <w:spacing w:after="60"/>
      </w:pPr>
      <w:r>
        <w:t>Sender is debited, recipient is credited, and a completed transaction captures conversion metadata.</w:t>
      </w:r>
    </w:p>
    <w:p>
      <w:pPr>
        <w:pStyle w:val="ListNumber"/>
        <w:spacing w:after="60"/>
      </w:pPr>
      <w:r>
        <w:t>Both balances and the transaction are committed as one database transaction.</w:t>
      </w:r>
    </w:p>
    <w:p>
      <w:pPr>
        <w:pStyle w:val="Heading2"/>
        <w:keepNext/>
      </w:pPr>
      <w:r>
        <w:t>Card and ACH flows</w:t>
      </w:r>
    </w:p>
    <w:p>
      <w:r>
        <w:t>A handler validates the user and wallet, may call an external provider, then updates wallet or transaction state. The provider action and local commit are not atomically coordinated. This creates uncertainty when a provider succeeds but the local commit fails, or when clients retry after a timeout.</w:t>
      </w:r>
    </w:p>
    <w:p>
      <w:pPr>
        <w:pStyle w:val="Heading2"/>
        <w:keepNext/>
      </w:pPr>
      <w:r>
        <w:t>Wave transfer</w:t>
      </w:r>
    </w:p>
    <w:p>
      <w:r>
        <w:t>The API immediately debits the sender and inserts a pending Wave transaction. A Wave B2C adapter exists, but no worker, scheduler, queue consumer, webhook, or direct invocation connects it to pending transactions. In this repository, those transactions do not advance automatically.</w:t>
      </w:r>
    </w:p>
    <w:p>
      <w:pPr>
        <w:pStyle w:val="Heading2"/>
        <w:keepNext/>
      </w:pPr>
      <w:r>
        <w:t>Administrative configuration</w:t>
      </w:r>
    </w:p>
    <w:p>
      <w:r>
        <w:t>Fee rules and exchange overrides are persisted, then copied into process-local collections. Transfers read the local snapshot for speed. This is coherent with one process but diverges across multiple workers or replicas.</w:t>
      </w:r>
    </w:p>
    <w:p>
      <w:pPr>
        <w:pStyle w:val="Heading1"/>
        <w:keepNext/>
      </w:pPr>
      <w:r>
        <w:t>6. Design Patterns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8324A"/>
          </w:tcPr>
          <w:p>
            <w:pPr>
              <w:spacing w:after="0"/>
            </w:pPr>
            <w:r/>
            <w:r>
              <w:rPr>
                <w:rFonts w:ascii="Aptos" w:hAnsi="Aptos"/>
                <w:b/>
                <w:color w:val="FFFFFF"/>
                <w:sz w:val="16"/>
              </w:rPr>
              <w:t>Pattern</w:t>
            </w:r>
          </w:p>
        </w:tc>
        <w:tc>
          <w:tcPr>
            <w:tcW w:type="dxa" w:w="4536"/>
            <w:vAlign w:val="center"/>
            <w:shd w:fill="18324A"/>
          </w:tcPr>
          <w:p>
            <w:pPr>
              <w:spacing w:after="0"/>
            </w:pPr>
            <w:r/>
            <w:r>
              <w:rPr>
                <w:rFonts w:ascii="Aptos" w:hAnsi="Aptos"/>
                <w:b/>
                <w:color w:val="FFFFFF"/>
                <w:sz w:val="16"/>
              </w:rPr>
              <w:t>Where it appears</w:t>
            </w:r>
          </w:p>
        </w:tc>
        <w:tc>
          <w:tcPr>
            <w:tcW w:type="dxa" w:w="3240"/>
            <w:vAlign w:val="center"/>
            <w:shd w:fill="18324A"/>
          </w:tcPr>
          <w:p>
            <w:pPr>
              <w:spacing w:after="0"/>
            </w:pPr>
            <w:r/>
            <w:r>
              <w:rPr>
                <w:rFonts w:ascii="Aptos" w:hAnsi="Aptos"/>
                <w:b/>
                <w:color w:val="FFFFFF"/>
                <w:sz w:val="16"/>
              </w:rPr>
              <w:t>Assessment</w:t>
            </w:r>
          </w:p>
        </w:tc>
      </w:tr>
      <w:tr>
        <w:tc>
          <w:tcPr>
            <w:tcW w:type="dxa" w:w="2088"/>
            <w:vAlign w:val="center"/>
          </w:tcPr>
          <w:p>
            <w:pPr>
              <w:spacing w:after="0"/>
            </w:pPr>
            <w:r/>
            <w:r>
              <w:rPr>
                <w:rFonts w:ascii="Aptos" w:hAnsi="Aptos"/>
                <w:b w:val="0"/>
                <w:color w:val="18324A"/>
                <w:sz w:val="16"/>
              </w:rPr>
              <w:t>Modular monolith</w:t>
            </w:r>
          </w:p>
        </w:tc>
        <w:tc>
          <w:tcPr>
            <w:tcW w:type="dxa" w:w="4536"/>
            <w:vAlign w:val="center"/>
          </w:tcPr>
          <w:p>
            <w:pPr>
              <w:spacing w:after="0"/>
            </w:pPr>
            <w:r/>
            <w:r>
              <w:rPr>
                <w:rFonts w:ascii="Aptos" w:hAnsi="Aptos"/>
                <w:b w:val="0"/>
                <w:color w:val="18324A"/>
                <w:sz w:val="16"/>
              </w:rPr>
              <w:t>One deployable API divided by feature handlers</w:t>
            </w:r>
          </w:p>
        </w:tc>
        <w:tc>
          <w:tcPr>
            <w:tcW w:type="dxa" w:w="3240"/>
            <w:vAlign w:val="center"/>
          </w:tcPr>
          <w:p>
            <w:pPr>
              <w:spacing w:after="0"/>
            </w:pPr>
            <w:r/>
            <w:r>
              <w:rPr>
                <w:rFonts w:ascii="Aptos" w:hAnsi="Aptos"/>
                <w:b w:val="0"/>
                <w:color w:val="18324A"/>
                <w:sz w:val="16"/>
              </w:rPr>
              <w:t>Appropriate for current scale</w:t>
            </w:r>
          </w:p>
        </w:tc>
      </w:tr>
      <w:tr>
        <w:tc>
          <w:tcPr>
            <w:tcW w:type="dxa" w:w="2088"/>
            <w:vAlign w:val="center"/>
            <w:shd w:fill="F3F5F7"/>
          </w:tcPr>
          <w:p>
            <w:pPr>
              <w:spacing w:after="0"/>
            </w:pPr>
            <w:r/>
            <w:r>
              <w:rPr>
                <w:rFonts w:ascii="Aptos" w:hAnsi="Aptos"/>
                <w:b w:val="0"/>
                <w:color w:val="18324A"/>
                <w:sz w:val="16"/>
              </w:rPr>
              <w:t>Dependency injection</w:t>
            </w:r>
          </w:p>
        </w:tc>
        <w:tc>
          <w:tcPr>
            <w:tcW w:type="dxa" w:w="4536"/>
            <w:vAlign w:val="center"/>
            <w:shd w:fill="F3F5F7"/>
          </w:tcPr>
          <w:p>
            <w:pPr>
              <w:spacing w:after="0"/>
            </w:pPr>
            <w:r/>
            <w:r>
              <w:rPr>
                <w:rFonts w:ascii="Aptos" w:hAnsi="Aptos"/>
                <w:b w:val="0"/>
                <w:color w:val="18324A"/>
                <w:sz w:val="16"/>
              </w:rPr>
              <w:t>FastAPI Depends for sessions and authentication</w:t>
            </w:r>
          </w:p>
        </w:tc>
        <w:tc>
          <w:tcPr>
            <w:tcW w:type="dxa" w:w="3240"/>
            <w:vAlign w:val="center"/>
            <w:shd w:fill="F3F5F7"/>
          </w:tcPr>
          <w:p>
            <w:pPr>
              <w:spacing w:after="0"/>
            </w:pPr>
            <w:r/>
            <w:r>
              <w:rPr>
                <w:rFonts w:ascii="Aptos" w:hAnsi="Aptos"/>
                <w:b w:val="0"/>
                <w:color w:val="18324A"/>
                <w:sz w:val="16"/>
              </w:rPr>
              <w:t>Simple and effective</w:t>
            </w:r>
          </w:p>
        </w:tc>
      </w:tr>
      <w:tr>
        <w:tc>
          <w:tcPr>
            <w:tcW w:type="dxa" w:w="2088"/>
            <w:vAlign w:val="center"/>
          </w:tcPr>
          <w:p>
            <w:pPr>
              <w:spacing w:after="0"/>
            </w:pPr>
            <w:r/>
            <w:r>
              <w:rPr>
                <w:rFonts w:ascii="Aptos" w:hAnsi="Aptos"/>
                <w:b w:val="0"/>
                <w:color w:val="18324A"/>
                <w:sz w:val="16"/>
              </w:rPr>
              <w:t>Adapter/wrapper</w:t>
            </w:r>
          </w:p>
        </w:tc>
        <w:tc>
          <w:tcPr>
            <w:tcW w:type="dxa" w:w="4536"/>
            <w:vAlign w:val="center"/>
          </w:tcPr>
          <w:p>
            <w:pPr>
              <w:spacing w:after="0"/>
            </w:pPr>
            <w:r/>
            <w:r>
              <w:rPr>
                <w:rFonts w:ascii="Aptos" w:hAnsi="Aptos"/>
                <w:b w:val="0"/>
                <w:color w:val="18324A"/>
                <w:sz w:val="16"/>
              </w:rPr>
              <w:t>ACH, card, Wave, SMS and SMTP services</w:t>
            </w:r>
          </w:p>
        </w:tc>
        <w:tc>
          <w:tcPr>
            <w:tcW w:type="dxa" w:w="3240"/>
            <w:vAlign w:val="center"/>
          </w:tcPr>
          <w:p>
            <w:pPr>
              <w:spacing w:after="0"/>
            </w:pPr>
            <w:r/>
            <w:r>
              <w:rPr>
                <w:rFonts w:ascii="Aptos" w:hAnsi="Aptos"/>
                <w:b w:val="0"/>
                <w:color w:val="18324A"/>
                <w:sz w:val="16"/>
              </w:rPr>
              <w:t>Useful isolation; interfaces are implicit</w:t>
            </w:r>
          </w:p>
        </w:tc>
      </w:tr>
      <w:tr>
        <w:tc>
          <w:tcPr>
            <w:tcW w:type="dxa" w:w="2088"/>
            <w:vAlign w:val="center"/>
            <w:shd w:fill="F3F5F7"/>
          </w:tcPr>
          <w:p>
            <w:pPr>
              <w:spacing w:after="0"/>
            </w:pPr>
            <w:r/>
            <w:r>
              <w:rPr>
                <w:rFonts w:ascii="Aptos" w:hAnsi="Aptos"/>
                <w:b w:val="0"/>
                <w:color w:val="18324A"/>
                <w:sz w:val="16"/>
              </w:rPr>
              <w:t>Transaction script</w:t>
            </w:r>
          </w:p>
        </w:tc>
        <w:tc>
          <w:tcPr>
            <w:tcW w:type="dxa" w:w="4536"/>
            <w:vAlign w:val="center"/>
            <w:shd w:fill="F3F5F7"/>
          </w:tcPr>
          <w:p>
            <w:pPr>
              <w:spacing w:after="0"/>
            </w:pPr>
            <w:r/>
            <w:r>
              <w:rPr>
                <w:rFonts w:ascii="Aptos" w:hAnsi="Aptos"/>
                <w:b w:val="0"/>
                <w:color w:val="18324A"/>
                <w:sz w:val="16"/>
              </w:rPr>
              <w:t>Endpoint implements each workflow procedurally</w:t>
            </w:r>
          </w:p>
        </w:tc>
        <w:tc>
          <w:tcPr>
            <w:tcW w:type="dxa" w:w="3240"/>
            <w:vAlign w:val="center"/>
            <w:shd w:fill="F3F5F7"/>
          </w:tcPr>
          <w:p>
            <w:pPr>
              <w:spacing w:after="0"/>
            </w:pPr>
            <w:r/>
            <w:r>
              <w:rPr>
                <w:rFonts w:ascii="Aptos" w:hAnsi="Aptos"/>
                <w:b w:val="0"/>
                <w:color w:val="18324A"/>
                <w:sz w:val="16"/>
              </w:rPr>
              <w:t>Easy initially; becoming difficult to govern</w:t>
            </w:r>
          </w:p>
        </w:tc>
      </w:tr>
      <w:tr>
        <w:tc>
          <w:tcPr>
            <w:tcW w:type="dxa" w:w="2088"/>
            <w:vAlign w:val="center"/>
          </w:tcPr>
          <w:p>
            <w:pPr>
              <w:spacing w:after="0"/>
            </w:pPr>
            <w:r/>
            <w:r>
              <w:rPr>
                <w:rFonts w:ascii="Aptos" w:hAnsi="Aptos"/>
                <w:b w:val="0"/>
                <w:color w:val="18324A"/>
                <w:sz w:val="16"/>
              </w:rPr>
              <w:t>Pessimistic locking</w:t>
            </w:r>
          </w:p>
        </w:tc>
        <w:tc>
          <w:tcPr>
            <w:tcW w:type="dxa" w:w="4536"/>
            <w:vAlign w:val="center"/>
          </w:tcPr>
          <w:p>
            <w:pPr>
              <w:spacing w:after="0"/>
            </w:pPr>
            <w:r/>
            <w:r>
              <w:rPr>
                <w:rFonts w:ascii="Aptos" w:hAnsi="Aptos"/>
                <w:b w:val="0"/>
                <w:color w:val="18324A"/>
                <w:sz w:val="16"/>
              </w:rPr>
              <w:t>Selected transfer and cash balance paths</w:t>
            </w:r>
          </w:p>
        </w:tc>
        <w:tc>
          <w:tcPr>
            <w:tcW w:type="dxa" w:w="3240"/>
            <w:vAlign w:val="center"/>
          </w:tcPr>
          <w:p>
            <w:pPr>
              <w:spacing w:after="0"/>
            </w:pPr>
            <w:r/>
            <w:r>
              <w:rPr>
                <w:rFonts w:ascii="Aptos" w:hAnsi="Aptos"/>
                <w:b w:val="0"/>
                <w:color w:val="18324A"/>
                <w:sz w:val="16"/>
              </w:rPr>
              <w:t>Correct idea, inconsistently applied</w:t>
            </w:r>
          </w:p>
        </w:tc>
      </w:tr>
      <w:tr>
        <w:tc>
          <w:tcPr>
            <w:tcW w:type="dxa" w:w="2088"/>
            <w:vAlign w:val="center"/>
            <w:shd w:fill="F3F5F7"/>
          </w:tcPr>
          <w:p>
            <w:pPr>
              <w:spacing w:after="0"/>
            </w:pPr>
            <w:r/>
            <w:r>
              <w:rPr>
                <w:rFonts w:ascii="Aptos" w:hAnsi="Aptos"/>
                <w:b w:val="0"/>
                <w:color w:val="18324A"/>
                <w:sz w:val="16"/>
              </w:rPr>
              <w:t>Configuration snapshot</w:t>
            </w:r>
          </w:p>
        </w:tc>
        <w:tc>
          <w:tcPr>
            <w:tcW w:type="dxa" w:w="4536"/>
            <w:vAlign w:val="center"/>
            <w:shd w:fill="F3F5F7"/>
          </w:tcPr>
          <w:p>
            <w:pPr>
              <w:spacing w:after="0"/>
            </w:pPr>
            <w:r/>
            <w:r>
              <w:rPr>
                <w:rFonts w:ascii="Aptos" w:hAnsi="Aptos"/>
                <w:b w:val="0"/>
                <w:color w:val="18324A"/>
                <w:sz w:val="16"/>
              </w:rPr>
              <w:t>In-memory rate and fee collections</w:t>
            </w:r>
          </w:p>
        </w:tc>
        <w:tc>
          <w:tcPr>
            <w:tcW w:type="dxa" w:w="3240"/>
            <w:vAlign w:val="center"/>
            <w:shd w:fill="F3F5F7"/>
          </w:tcPr>
          <w:p>
            <w:pPr>
              <w:spacing w:after="0"/>
            </w:pPr>
            <w:r/>
            <w:r>
              <w:rPr>
                <w:rFonts w:ascii="Aptos" w:hAnsi="Aptos"/>
                <w:b w:val="0"/>
                <w:color w:val="18324A"/>
                <w:sz w:val="16"/>
              </w:rPr>
              <w:t>Fast but topology-sensitive</w:t>
            </w:r>
          </w:p>
        </w:tc>
      </w:tr>
      <w:tr>
        <w:tc>
          <w:tcPr>
            <w:tcW w:type="dxa" w:w="2088"/>
            <w:vAlign w:val="center"/>
          </w:tcPr>
          <w:p>
            <w:pPr>
              <w:spacing w:after="0"/>
            </w:pPr>
            <w:r/>
            <w:r>
              <w:rPr>
                <w:rFonts w:ascii="Aptos" w:hAnsi="Aptos"/>
                <w:b w:val="0"/>
                <w:color w:val="18324A"/>
                <w:sz w:val="16"/>
              </w:rPr>
              <w:t>Rule selection</w:t>
            </w:r>
          </w:p>
        </w:tc>
        <w:tc>
          <w:tcPr>
            <w:tcW w:type="dxa" w:w="4536"/>
            <w:vAlign w:val="center"/>
          </w:tcPr>
          <w:p>
            <w:pPr>
              <w:spacing w:after="0"/>
            </w:pPr>
            <w:r/>
            <w:r>
              <w:rPr>
                <w:rFonts w:ascii="Aptos" w:hAnsi="Aptos"/>
                <w:b w:val="0"/>
                <w:color w:val="18324A"/>
                <w:sz w:val="16"/>
              </w:rPr>
              <w:t>Prioritized fee rules by corridor and amount</w:t>
            </w:r>
          </w:p>
        </w:tc>
        <w:tc>
          <w:tcPr>
            <w:tcW w:type="dxa" w:w="3240"/>
            <w:vAlign w:val="center"/>
          </w:tcPr>
          <w:p>
            <w:pPr>
              <w:spacing w:after="0"/>
            </w:pPr>
            <w:r/>
            <w:r>
              <w:rPr>
                <w:rFonts w:ascii="Aptos" w:hAnsi="Aptos"/>
                <w:b w:val="0"/>
                <w:color w:val="18324A"/>
                <w:sz w:val="16"/>
              </w:rPr>
              <w:t>A lightweight strategy pattern</w:t>
            </w:r>
          </w:p>
        </w:tc>
      </w:tr>
      <w:tr>
        <w:tc>
          <w:tcPr>
            <w:tcW w:type="dxa" w:w="2088"/>
            <w:vAlign w:val="center"/>
            <w:shd w:fill="F3F5F7"/>
          </w:tcPr>
          <w:p>
            <w:pPr>
              <w:spacing w:after="0"/>
            </w:pPr>
            <w:r/>
            <w:r>
              <w:rPr>
                <w:rFonts w:ascii="Aptos" w:hAnsi="Aptos"/>
                <w:b w:val="0"/>
                <w:color w:val="18324A"/>
                <w:sz w:val="16"/>
              </w:rPr>
              <w:t>Data mapper</w:t>
            </w:r>
          </w:p>
        </w:tc>
        <w:tc>
          <w:tcPr>
            <w:tcW w:type="dxa" w:w="4536"/>
            <w:vAlign w:val="center"/>
            <w:shd w:fill="F3F5F7"/>
          </w:tcPr>
          <w:p>
            <w:pPr>
              <w:spacing w:after="0"/>
            </w:pPr>
            <w:r/>
            <w:r>
              <w:rPr>
                <w:rFonts w:ascii="Aptos" w:hAnsi="Aptos"/>
                <w:b w:val="0"/>
                <w:color w:val="18324A"/>
                <w:sz w:val="16"/>
              </w:rPr>
              <w:t>SQLAlchemy declarative entities and explicit queries</w:t>
            </w:r>
          </w:p>
        </w:tc>
        <w:tc>
          <w:tcPr>
            <w:tcW w:type="dxa" w:w="3240"/>
            <w:vAlign w:val="center"/>
            <w:shd w:fill="F3F5F7"/>
          </w:tcPr>
          <w:p>
            <w:pPr>
              <w:spacing w:after="0"/>
            </w:pPr>
            <w:r/>
            <w:r>
              <w:rPr>
                <w:rFonts w:ascii="Aptos" w:hAnsi="Aptos"/>
                <w:b w:val="0"/>
                <w:color w:val="18324A"/>
                <w:sz w:val="16"/>
              </w:rPr>
              <w:t>Thin model layer; domain behavior lives elsewhere</w:t>
            </w:r>
          </w:p>
        </w:tc>
      </w:tr>
    </w:tbl>
    <w:p>
      <w:pPr>
        <w:spacing w:after="0"/>
      </w:pPr>
    </w:p>
    <w:p>
      <w:pPr>
        <w:pStyle w:val="Heading1"/>
        <w:keepNext/>
      </w:pPr>
      <w:r>
        <w:t>7. Architectural Risk Register</w:t>
      </w:r>
    </w:p>
    <w:p>
      <w:r>
        <w:t>Severity reflects potential impact on funds, authorization, availability, or operational recovery—not only code quality.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8324A"/>
          </w:tcPr>
          <w:p>
            <w:pPr>
              <w:spacing w:after="0"/>
            </w:pPr>
            <w:r/>
            <w:r>
              <w:rPr>
                <w:rFonts w:ascii="Aptos" w:hAnsi="Aptos"/>
                <w:b/>
                <w:color w:val="FFFFFF"/>
                <w:sz w:val="15"/>
              </w:rPr>
              <w:t>Severity / Risk</w:t>
            </w:r>
          </w:p>
        </w:tc>
        <w:tc>
          <w:tcPr>
            <w:tcW w:type="dxa" w:w="2484"/>
            <w:vAlign w:val="center"/>
            <w:shd w:fill="18324A"/>
          </w:tcPr>
          <w:p>
            <w:pPr>
              <w:spacing w:after="0"/>
            </w:pPr>
            <w:r/>
            <w:r>
              <w:rPr>
                <w:rFonts w:ascii="Aptos" w:hAnsi="Aptos"/>
                <w:b/>
                <w:color w:val="FFFFFF"/>
                <w:sz w:val="15"/>
              </w:rPr>
              <w:t>Evidence &amp; impact</w:t>
            </w:r>
          </w:p>
        </w:tc>
        <w:tc>
          <w:tcPr>
            <w:tcW w:type="dxa" w:w="2484"/>
            <w:vAlign w:val="center"/>
            <w:shd w:fill="18324A"/>
          </w:tcPr>
          <w:p>
            <w:pPr>
              <w:spacing w:after="0"/>
            </w:pPr>
            <w:r/>
            <w:r>
              <w:rPr>
                <w:rFonts w:ascii="Aptos" w:hAnsi="Aptos"/>
                <w:b/>
                <w:color w:val="FFFFFF"/>
                <w:sz w:val="15"/>
              </w:rPr>
              <w:t>Recommended control</w:t>
            </w:r>
          </w:p>
        </w:tc>
        <w:tc>
          <w:tcPr>
            <w:tcW w:type="dxa" w:w="2484"/>
            <w:vAlign w:val="center"/>
            <w:shd w:fill="18324A"/>
          </w:tcPr>
          <w:p>
            <w:pPr>
              <w:spacing w:after="0"/>
            </w:pPr>
            <w:r/>
            <w:r>
              <w:rPr>
                <w:rFonts w:ascii="Aptos" w:hAnsi="Aptos"/>
                <w:b/>
                <w:color w:val="FFFFFF"/>
                <w:sz w:val="15"/>
              </w:rPr>
              <w:t>Owner area</w:t>
            </w:r>
          </w:p>
        </w:tc>
      </w:tr>
      <w:tr>
        <w:tc>
          <w:tcPr>
            <w:tcW w:type="dxa" w:w="2484"/>
            <w:vAlign w:val="center"/>
          </w:tcPr>
          <w:p>
            <w:pPr>
              <w:spacing w:after="0"/>
            </w:pPr>
            <w:r/>
            <w:r>
              <w:rPr>
                <w:rFonts w:ascii="Aptos" w:hAnsi="Aptos"/>
                <w:b/>
                <w:color w:val="B42318"/>
                <w:sz w:val="15"/>
              </w:rPr>
              <w:t>Critical</w:t>
              <w:br/>
              <w:t>Simulated funding can mint money</w:t>
            </w:r>
          </w:p>
        </w:tc>
        <w:tc>
          <w:tcPr>
            <w:tcW w:type="dxa" w:w="2484"/>
            <w:vAlign w:val="center"/>
          </w:tcPr>
          <w:p>
            <w:pPr>
              <w:spacing w:after="0"/>
            </w:pPr>
            <w:r/>
            <w:r>
              <w:rPr>
                <w:rFonts w:ascii="Aptos" w:hAnsi="Aptos"/>
                <w:b w:val="0"/>
                <w:sz w:val="14"/>
              </w:rPr>
              <w:t>Saved-card, generic top-up and cash-in paths can increase balances without verified external settlement.</w:t>
            </w:r>
          </w:p>
        </w:tc>
        <w:tc>
          <w:tcPr>
            <w:tcW w:type="dxa" w:w="2484"/>
            <w:vAlign w:val="center"/>
          </w:tcPr>
          <w:p>
            <w:pPr>
              <w:spacing w:after="0"/>
            </w:pPr>
            <w:r/>
            <w:r>
              <w:rPr>
                <w:rFonts w:ascii="Aptos" w:hAnsi="Aptos"/>
                <w:b w:val="0"/>
                <w:sz w:val="14"/>
              </w:rPr>
              <w:t>Disable or strictly environment-gate; require provider-confirmed settlement.</w:t>
            </w:r>
          </w:p>
        </w:tc>
        <w:tc>
          <w:tcPr>
            <w:tcW w:type="dxa" w:w="2484"/>
            <w:vAlign w:val="center"/>
          </w:tcPr>
          <w:p>
            <w:pPr>
              <w:spacing w:after="0"/>
            </w:pPr>
            <w:r/>
            <w:r>
              <w:rPr>
                <w:rFonts w:ascii="Aptos" w:hAnsi="Aptos"/>
                <w:b w:val="0"/>
                <w:sz w:val="14"/>
              </w:rPr>
              <w:t>Payments / Ledger</w:t>
            </w:r>
          </w:p>
        </w:tc>
      </w:tr>
      <w:tr>
        <w:tc>
          <w:tcPr>
            <w:tcW w:type="dxa" w:w="2484"/>
            <w:vAlign w:val="center"/>
            <w:shd w:fill="F3F5F7"/>
          </w:tcPr>
          <w:p>
            <w:pPr>
              <w:spacing w:after="0"/>
            </w:pPr>
            <w:r/>
            <w:r>
              <w:rPr>
                <w:rFonts w:ascii="Aptos" w:hAnsi="Aptos"/>
                <w:b/>
                <w:color w:val="B42318"/>
                <w:sz w:val="15"/>
              </w:rPr>
              <w:t>Critical</w:t>
              <w:br/>
              <w:t>KYC admin authorization</w:t>
            </w:r>
          </w:p>
        </w:tc>
        <w:tc>
          <w:tcPr>
            <w:tcW w:type="dxa" w:w="2484"/>
            <w:vAlign w:val="center"/>
            <w:shd w:fill="F3F5F7"/>
          </w:tcPr>
          <w:p>
            <w:pPr>
              <w:spacing w:after="0"/>
            </w:pPr>
            <w:r/>
            <w:r>
              <w:rPr>
                <w:rFonts w:ascii="Aptos" w:hAnsi="Aptos"/>
                <w:b w:val="0"/>
                <w:sz w:val="14"/>
              </w:rPr>
              <w:t>KYC listing and review routes use ordinary user authentication instead of admin/compliance authorization.</w:t>
            </w:r>
          </w:p>
        </w:tc>
        <w:tc>
          <w:tcPr>
            <w:tcW w:type="dxa" w:w="2484"/>
            <w:vAlign w:val="center"/>
            <w:shd w:fill="F3F5F7"/>
          </w:tcPr>
          <w:p>
            <w:pPr>
              <w:spacing w:after="0"/>
            </w:pPr>
            <w:r/>
            <w:r>
              <w:rPr>
                <w:rFonts w:ascii="Aptos" w:hAnsi="Aptos"/>
                <w:b w:val="0"/>
                <w:sz w:val="14"/>
              </w:rPr>
              <w:t>Require admin JWT plus an explicit compliance role.</w:t>
            </w:r>
          </w:p>
        </w:tc>
        <w:tc>
          <w:tcPr>
            <w:tcW w:type="dxa" w:w="2484"/>
            <w:vAlign w:val="center"/>
            <w:shd w:fill="F3F5F7"/>
          </w:tcPr>
          <w:p>
            <w:pPr>
              <w:spacing w:after="0"/>
            </w:pPr>
            <w:r/>
            <w:r>
              <w:rPr>
                <w:rFonts w:ascii="Aptos" w:hAnsi="Aptos"/>
                <w:b w:val="0"/>
                <w:sz w:val="14"/>
              </w:rPr>
              <w:t>Security</w:t>
            </w:r>
          </w:p>
        </w:tc>
      </w:tr>
      <w:tr>
        <w:tc>
          <w:tcPr>
            <w:tcW w:type="dxa" w:w="2484"/>
            <w:vAlign w:val="center"/>
          </w:tcPr>
          <w:p>
            <w:pPr>
              <w:spacing w:after="0"/>
            </w:pPr>
            <w:r/>
            <w:r>
              <w:rPr>
                <w:rFonts w:ascii="Aptos" w:hAnsi="Aptos"/>
                <w:b/>
                <w:color w:val="B42318"/>
                <w:sz w:val="15"/>
              </w:rPr>
              <w:t>Critical</w:t>
              <w:br/>
              <w:t>Unsafe credential defaults</w:t>
            </w:r>
          </w:p>
        </w:tc>
        <w:tc>
          <w:tcPr>
            <w:tcW w:type="dxa" w:w="2484"/>
            <w:vAlign w:val="center"/>
          </w:tcPr>
          <w:p>
            <w:pPr>
              <w:spacing w:after="0"/>
            </w:pPr>
            <w:r/>
            <w:r>
              <w:rPr>
                <w:rFonts w:ascii="Aptos" w:hAnsi="Aptos"/>
                <w:b w:val="0"/>
                <w:sz w:val="14"/>
              </w:rPr>
              <w:t>Known JWT and admin defaults turn missing production configuration into an authentication bypass.</w:t>
            </w:r>
          </w:p>
        </w:tc>
        <w:tc>
          <w:tcPr>
            <w:tcW w:type="dxa" w:w="2484"/>
            <w:vAlign w:val="center"/>
          </w:tcPr>
          <w:p>
            <w:pPr>
              <w:spacing w:after="0"/>
            </w:pPr>
            <w:r/>
            <w:r>
              <w:rPr>
                <w:rFonts w:ascii="Aptos" w:hAnsi="Aptos"/>
                <w:b w:val="0"/>
                <w:sz w:val="14"/>
              </w:rPr>
              <w:t>Fail startup when production secrets are absent.</w:t>
            </w:r>
          </w:p>
        </w:tc>
        <w:tc>
          <w:tcPr>
            <w:tcW w:type="dxa" w:w="2484"/>
            <w:vAlign w:val="center"/>
          </w:tcPr>
          <w:p>
            <w:pPr>
              <w:spacing w:after="0"/>
            </w:pPr>
            <w:r/>
            <w:r>
              <w:rPr>
                <w:rFonts w:ascii="Aptos" w:hAnsi="Aptos"/>
                <w:b w:val="0"/>
                <w:sz w:val="14"/>
              </w:rPr>
              <w:t>Security</w:t>
            </w:r>
          </w:p>
        </w:tc>
      </w:tr>
      <w:tr>
        <w:tc>
          <w:tcPr>
            <w:tcW w:type="dxa" w:w="2484"/>
            <w:vAlign w:val="center"/>
            <w:shd w:fill="F3F5F7"/>
          </w:tcPr>
          <w:p>
            <w:pPr>
              <w:spacing w:after="0"/>
            </w:pPr>
            <w:r/>
            <w:r>
              <w:rPr>
                <w:rFonts w:ascii="Aptos" w:hAnsi="Aptos"/>
                <w:b/>
                <w:color w:val="B42318"/>
                <w:sz w:val="15"/>
              </w:rPr>
              <w:t>Critical</w:t>
              <w:br/>
              <w:t>Balance concurrency gaps</w:t>
            </w:r>
          </w:p>
        </w:tc>
        <w:tc>
          <w:tcPr>
            <w:tcW w:type="dxa" w:w="2484"/>
            <w:vAlign w:val="center"/>
            <w:shd w:fill="F3F5F7"/>
          </w:tcPr>
          <w:p>
            <w:pPr>
              <w:spacing w:after="0"/>
            </w:pPr>
            <w:r/>
            <w:r>
              <w:rPr>
                <w:rFonts w:ascii="Aptos" w:hAnsi="Aptos"/>
                <w:b w:val="0"/>
                <w:sz w:val="14"/>
              </w:rPr>
              <w:t>Several card, top-up and ACH mutations omit row locks; concurrent requests can lose updates or overspend.</w:t>
            </w:r>
          </w:p>
        </w:tc>
        <w:tc>
          <w:tcPr>
            <w:tcW w:type="dxa" w:w="2484"/>
            <w:vAlign w:val="center"/>
            <w:shd w:fill="F3F5F7"/>
          </w:tcPr>
          <w:p>
            <w:pPr>
              <w:spacing w:after="0"/>
            </w:pPr>
            <w:r/>
            <w:r>
              <w:rPr>
                <w:rFonts w:ascii="Aptos" w:hAnsi="Aptos"/>
                <w:b w:val="0"/>
                <w:sz w:val="14"/>
              </w:rPr>
              <w:t>Lock all affected accounts using deterministic ordering.</w:t>
            </w:r>
          </w:p>
        </w:tc>
        <w:tc>
          <w:tcPr>
            <w:tcW w:type="dxa" w:w="2484"/>
            <w:vAlign w:val="center"/>
            <w:shd w:fill="F3F5F7"/>
          </w:tcPr>
          <w:p>
            <w:pPr>
              <w:spacing w:after="0"/>
            </w:pPr>
            <w:r/>
            <w:r>
              <w:rPr>
                <w:rFonts w:ascii="Aptos" w:hAnsi="Aptos"/>
                <w:b w:val="0"/>
                <w:sz w:val="14"/>
              </w:rPr>
              <w:t>Payments / Ledger</w:t>
            </w:r>
          </w:p>
        </w:tc>
      </w:tr>
      <w:tr>
        <w:tc>
          <w:tcPr>
            <w:tcW w:type="dxa" w:w="2484"/>
            <w:vAlign w:val="center"/>
          </w:tcPr>
          <w:p>
            <w:pPr>
              <w:spacing w:after="0"/>
            </w:pPr>
            <w:r/>
            <w:r>
              <w:rPr>
                <w:rFonts w:ascii="Aptos" w:hAnsi="Aptos"/>
                <w:b/>
                <w:color w:val="B42318"/>
                <w:sz w:val="15"/>
              </w:rPr>
              <w:t>Critical</w:t>
              <w:br/>
              <w:t>No client idempotency</w:t>
            </w:r>
          </w:p>
        </w:tc>
        <w:tc>
          <w:tcPr>
            <w:tcW w:type="dxa" w:w="2484"/>
            <w:vAlign w:val="center"/>
          </w:tcPr>
          <w:p>
            <w:pPr>
              <w:spacing w:after="0"/>
            </w:pPr>
            <w:r/>
            <w:r>
              <w:rPr>
                <w:rFonts w:ascii="Aptos" w:hAnsi="Aptos"/>
                <w:b w:val="0"/>
                <w:sz w:val="14"/>
              </w:rPr>
              <w:t>Retries can repeat transfers or provider charges because request identity is generated server-side.</w:t>
            </w:r>
          </w:p>
        </w:tc>
        <w:tc>
          <w:tcPr>
            <w:tcW w:type="dxa" w:w="2484"/>
            <w:vAlign w:val="center"/>
          </w:tcPr>
          <w:p>
            <w:pPr>
              <w:spacing w:after="0"/>
            </w:pPr>
            <w:r/>
            <w:r>
              <w:rPr>
                <w:rFonts w:ascii="Aptos" w:hAnsi="Aptos"/>
                <w:b w:val="0"/>
                <w:sz w:val="14"/>
              </w:rPr>
              <w:t>Persist and enforce scoped idempotency keys.</w:t>
            </w:r>
          </w:p>
        </w:tc>
        <w:tc>
          <w:tcPr>
            <w:tcW w:type="dxa" w:w="2484"/>
            <w:vAlign w:val="center"/>
          </w:tcPr>
          <w:p>
            <w:pPr>
              <w:spacing w:after="0"/>
            </w:pPr>
            <w:r/>
            <w:r>
              <w:rPr>
                <w:rFonts w:ascii="Aptos" w:hAnsi="Aptos"/>
                <w:b w:val="0"/>
                <w:sz w:val="14"/>
              </w:rPr>
              <w:t>Payments / Ledger</w:t>
            </w:r>
          </w:p>
        </w:tc>
      </w:tr>
      <w:tr>
        <w:tc>
          <w:tcPr>
            <w:tcW w:type="dxa" w:w="2484"/>
            <w:vAlign w:val="center"/>
            <w:shd w:fill="F3F5F7"/>
          </w:tcPr>
          <w:p>
            <w:pPr>
              <w:spacing w:after="0"/>
            </w:pPr>
            <w:r/>
            <w:r>
              <w:rPr>
                <w:rFonts w:ascii="Aptos" w:hAnsi="Aptos"/>
                <w:b/>
                <w:color w:val="B54708"/>
                <w:sz w:val="15"/>
              </w:rPr>
              <w:t>High</w:t>
              <w:br/>
              <w:t>Float-based money math</w:t>
            </w:r>
          </w:p>
        </w:tc>
        <w:tc>
          <w:tcPr>
            <w:tcW w:type="dxa" w:w="2484"/>
            <w:vAlign w:val="center"/>
            <w:shd w:fill="F3F5F7"/>
          </w:tcPr>
          <w:p>
            <w:pPr>
              <w:spacing w:after="0"/>
            </w:pPr>
            <w:r/>
            <w:r>
              <w:rPr>
                <w:rFonts w:ascii="Aptos" w:hAnsi="Aptos"/>
                <w:b w:val="0"/>
                <w:sz w:val="14"/>
              </w:rPr>
              <w:t>NUMERIC values are repeatedly converted to binary float, creating rounding drift.</w:t>
            </w:r>
          </w:p>
        </w:tc>
        <w:tc>
          <w:tcPr>
            <w:tcW w:type="dxa" w:w="2484"/>
            <w:vAlign w:val="center"/>
            <w:shd w:fill="F3F5F7"/>
          </w:tcPr>
          <w:p>
            <w:pPr>
              <w:spacing w:after="0"/>
            </w:pPr>
            <w:r/>
            <w:r>
              <w:rPr>
                <w:rFonts w:ascii="Aptos" w:hAnsi="Aptos"/>
                <w:b w:val="0"/>
                <w:sz w:val="14"/>
              </w:rPr>
              <w:t>Use Decimal end-to-end with currency-specific quantization.</w:t>
            </w:r>
          </w:p>
        </w:tc>
        <w:tc>
          <w:tcPr>
            <w:tcW w:type="dxa" w:w="2484"/>
            <w:vAlign w:val="center"/>
            <w:shd w:fill="F3F5F7"/>
          </w:tcPr>
          <w:p>
            <w:pPr>
              <w:spacing w:after="0"/>
            </w:pPr>
            <w:r/>
            <w:r>
              <w:rPr>
                <w:rFonts w:ascii="Aptos" w:hAnsi="Aptos"/>
                <w:b w:val="0"/>
                <w:sz w:val="14"/>
              </w:rPr>
              <w:t>Payments / Ledger</w:t>
            </w:r>
          </w:p>
        </w:tc>
      </w:tr>
      <w:tr>
        <w:tc>
          <w:tcPr>
            <w:tcW w:type="dxa" w:w="2484"/>
            <w:vAlign w:val="center"/>
          </w:tcPr>
          <w:p>
            <w:pPr>
              <w:spacing w:after="0"/>
            </w:pPr>
            <w:r/>
            <w:r>
              <w:rPr>
                <w:rFonts w:ascii="Aptos" w:hAnsi="Aptos"/>
                <w:b/>
                <w:color w:val="B54708"/>
                <w:sz w:val="15"/>
              </w:rPr>
              <w:t>High</w:t>
              <w:br/>
              <w:t>No auditable ledger</w:t>
            </w:r>
          </w:p>
        </w:tc>
        <w:tc>
          <w:tcPr>
            <w:tcW w:type="dxa" w:w="2484"/>
            <w:vAlign w:val="center"/>
          </w:tcPr>
          <w:p>
            <w:pPr>
              <w:spacing w:after="0"/>
            </w:pPr>
            <w:r/>
            <w:r>
              <w:rPr>
                <w:rFonts w:ascii="Aptos" w:hAnsi="Aptos"/>
                <w:b w:val="0"/>
                <w:sz w:val="14"/>
              </w:rPr>
              <w:t>Mutable balances plus history rows do not guarantee balanced, immutable accounting entries.</w:t>
            </w:r>
          </w:p>
        </w:tc>
        <w:tc>
          <w:tcPr>
            <w:tcW w:type="dxa" w:w="2484"/>
            <w:vAlign w:val="center"/>
          </w:tcPr>
          <w:p>
            <w:pPr>
              <w:spacing w:after="0"/>
            </w:pPr>
            <w:r/>
            <w:r>
              <w:rPr>
                <w:rFonts w:ascii="Aptos" w:hAnsi="Aptos"/>
                <w:b w:val="0"/>
                <w:sz w:val="14"/>
              </w:rPr>
              <w:t>Introduce double-entry postings and derived balances.</w:t>
            </w:r>
          </w:p>
        </w:tc>
        <w:tc>
          <w:tcPr>
            <w:tcW w:type="dxa" w:w="2484"/>
            <w:vAlign w:val="center"/>
          </w:tcPr>
          <w:p>
            <w:pPr>
              <w:spacing w:after="0"/>
            </w:pPr>
            <w:r/>
            <w:r>
              <w:rPr>
                <w:rFonts w:ascii="Aptos" w:hAnsi="Aptos"/>
                <w:b w:val="0"/>
                <w:sz w:val="14"/>
              </w:rPr>
              <w:t>Payments / Ledger</w:t>
            </w:r>
          </w:p>
        </w:tc>
      </w:tr>
      <w:tr>
        <w:tc>
          <w:tcPr>
            <w:tcW w:type="dxa" w:w="2484"/>
            <w:vAlign w:val="center"/>
            <w:shd w:fill="F3F5F7"/>
          </w:tcPr>
          <w:p>
            <w:pPr>
              <w:spacing w:after="0"/>
            </w:pPr>
            <w:r/>
            <w:r>
              <w:rPr>
                <w:rFonts w:ascii="Aptos" w:hAnsi="Aptos"/>
                <w:b/>
                <w:color w:val="B54708"/>
                <w:sz w:val="15"/>
              </w:rPr>
              <w:t>High</w:t>
              <w:br/>
              <w:t>Provider/database dual writes</w:t>
            </w:r>
          </w:p>
        </w:tc>
        <w:tc>
          <w:tcPr>
            <w:tcW w:type="dxa" w:w="2484"/>
            <w:vAlign w:val="center"/>
            <w:shd w:fill="F3F5F7"/>
          </w:tcPr>
          <w:p>
            <w:pPr>
              <w:spacing w:after="0"/>
            </w:pPr>
            <w:r/>
            <w:r>
              <w:rPr>
                <w:rFonts w:ascii="Aptos" w:hAnsi="Aptos"/>
                <w:b w:val="0"/>
                <w:sz w:val="14"/>
              </w:rPr>
              <w:t>External success and database commit can disagree without outbox, callback state machine or reconciliation.</w:t>
            </w:r>
          </w:p>
        </w:tc>
        <w:tc>
          <w:tcPr>
            <w:tcW w:type="dxa" w:w="2484"/>
            <w:vAlign w:val="center"/>
            <w:shd w:fill="F3F5F7"/>
          </w:tcPr>
          <w:p>
            <w:pPr>
              <w:spacing w:after="0"/>
            </w:pPr>
            <w:r/>
            <w:r>
              <w:rPr>
                <w:rFonts w:ascii="Aptos" w:hAnsi="Aptos"/>
                <w:b w:val="0"/>
                <w:sz w:val="14"/>
              </w:rPr>
              <w:t>Use durable commands, webhooks and reconciliation jobs.</w:t>
            </w:r>
          </w:p>
        </w:tc>
        <w:tc>
          <w:tcPr>
            <w:tcW w:type="dxa" w:w="2484"/>
            <w:vAlign w:val="center"/>
            <w:shd w:fill="F3F5F7"/>
          </w:tcPr>
          <w:p>
            <w:pPr>
              <w:spacing w:after="0"/>
            </w:pPr>
            <w:r/>
            <w:r>
              <w:rPr>
                <w:rFonts w:ascii="Aptos" w:hAnsi="Aptos"/>
                <w:b w:val="0"/>
                <w:sz w:val="14"/>
              </w:rPr>
              <w:t>Payments / Ledger</w:t>
            </w:r>
          </w:p>
        </w:tc>
      </w:tr>
      <w:tr>
        <w:tc>
          <w:tcPr>
            <w:tcW w:type="dxa" w:w="2484"/>
            <w:vAlign w:val="center"/>
          </w:tcPr>
          <w:p>
            <w:pPr>
              <w:spacing w:after="0"/>
            </w:pPr>
            <w:r/>
            <w:r>
              <w:rPr>
                <w:rFonts w:ascii="Aptos" w:hAnsi="Aptos"/>
                <w:b/>
                <w:color w:val="B54708"/>
                <w:sz w:val="15"/>
              </w:rPr>
              <w:t>High</w:t>
              <w:br/>
              <w:t>Wave workflow is disconnected</w:t>
            </w:r>
          </w:p>
        </w:tc>
        <w:tc>
          <w:tcPr>
            <w:tcW w:type="dxa" w:w="2484"/>
            <w:vAlign w:val="center"/>
          </w:tcPr>
          <w:p>
            <w:pPr>
              <w:spacing w:after="0"/>
            </w:pPr>
            <w:r/>
            <w:r>
              <w:rPr>
                <w:rFonts w:ascii="Aptos" w:hAnsi="Aptos"/>
                <w:b w:val="0"/>
                <w:sz w:val="14"/>
              </w:rPr>
              <w:t>The API creates pending transactions, but the processor adapter has no consumer.</w:t>
            </w:r>
          </w:p>
        </w:tc>
        <w:tc>
          <w:tcPr>
            <w:tcW w:type="dxa" w:w="2484"/>
            <w:vAlign w:val="center"/>
          </w:tcPr>
          <w:p>
            <w:pPr>
              <w:spacing w:after="0"/>
            </w:pPr>
            <w:r/>
            <w:r>
              <w:rPr>
                <w:rFonts w:ascii="Aptos" w:hAnsi="Aptos"/>
                <w:b w:val="0"/>
                <w:sz w:val="14"/>
              </w:rPr>
              <w:t>Add a worker and explicit transition/reversal rules.</w:t>
            </w:r>
          </w:p>
        </w:tc>
        <w:tc>
          <w:tcPr>
            <w:tcW w:type="dxa" w:w="2484"/>
            <w:vAlign w:val="center"/>
          </w:tcPr>
          <w:p>
            <w:pPr>
              <w:spacing w:after="0"/>
            </w:pPr>
            <w:r/>
            <w:r>
              <w:rPr>
                <w:rFonts w:ascii="Aptos" w:hAnsi="Aptos"/>
                <w:b w:val="0"/>
                <w:sz w:val="14"/>
              </w:rPr>
              <w:t>Payments / Ledger</w:t>
            </w:r>
          </w:p>
        </w:tc>
      </w:tr>
      <w:tr>
        <w:tc>
          <w:tcPr>
            <w:tcW w:type="dxa" w:w="2484"/>
            <w:vAlign w:val="center"/>
            <w:shd w:fill="F3F5F7"/>
          </w:tcPr>
          <w:p>
            <w:pPr>
              <w:spacing w:after="0"/>
            </w:pPr>
            <w:r/>
            <w:r>
              <w:rPr>
                <w:rFonts w:ascii="Aptos" w:hAnsi="Aptos"/>
                <w:b/>
                <w:color w:val="B54708"/>
                <w:sz w:val="15"/>
              </w:rPr>
              <w:t>High</w:t>
              <w:br/>
              <w:t>TLS verification disabled</w:t>
            </w:r>
          </w:p>
        </w:tc>
        <w:tc>
          <w:tcPr>
            <w:tcW w:type="dxa" w:w="2484"/>
            <w:vAlign w:val="center"/>
            <w:shd w:fill="F3F5F7"/>
          </w:tcPr>
          <w:p>
            <w:pPr>
              <w:spacing w:after="0"/>
            </w:pPr>
            <w:r/>
            <w:r>
              <w:rPr>
                <w:rFonts w:ascii="Aptos" w:hAnsi="Aptos"/>
                <w:b w:val="0"/>
                <w:sz w:val="14"/>
              </w:rPr>
              <w:t>Database and card integration defaults permit unverified TLS.</w:t>
            </w:r>
          </w:p>
        </w:tc>
        <w:tc>
          <w:tcPr>
            <w:tcW w:type="dxa" w:w="2484"/>
            <w:vAlign w:val="center"/>
            <w:shd w:fill="F3F5F7"/>
          </w:tcPr>
          <w:p>
            <w:pPr>
              <w:spacing w:after="0"/>
            </w:pPr>
            <w:r/>
            <w:r>
              <w:rPr>
                <w:rFonts w:ascii="Aptos" w:hAnsi="Aptos"/>
                <w:b w:val="0"/>
                <w:sz w:val="14"/>
              </w:rPr>
              <w:t>Verify certificates; allow exceptions only in explicit local profiles.</w:t>
            </w:r>
          </w:p>
        </w:tc>
        <w:tc>
          <w:tcPr>
            <w:tcW w:type="dxa" w:w="2484"/>
            <w:vAlign w:val="center"/>
            <w:shd w:fill="F3F5F7"/>
          </w:tcPr>
          <w:p>
            <w:pPr>
              <w:spacing w:after="0"/>
            </w:pPr>
            <w:r/>
            <w:r>
              <w:rPr>
                <w:rFonts w:ascii="Aptos" w:hAnsi="Aptos"/>
                <w:b w:val="0"/>
                <w:sz w:val="14"/>
              </w:rPr>
              <w:t>Security</w:t>
            </w:r>
          </w:p>
        </w:tc>
      </w:tr>
      <w:tr>
        <w:tc>
          <w:tcPr>
            <w:tcW w:type="dxa" w:w="2484"/>
            <w:vAlign w:val="center"/>
          </w:tcPr>
          <w:p>
            <w:pPr>
              <w:spacing w:after="0"/>
            </w:pPr>
            <w:r/>
            <w:r>
              <w:rPr>
                <w:rFonts w:ascii="Aptos" w:hAnsi="Aptos"/>
                <w:b/>
                <w:color w:val="B54708"/>
                <w:sz w:val="15"/>
              </w:rPr>
              <w:t>High</w:t>
              <w:br/>
              <w:t>Process-local configuration</w:t>
            </w:r>
          </w:p>
        </w:tc>
        <w:tc>
          <w:tcPr>
            <w:tcW w:type="dxa" w:w="2484"/>
            <w:vAlign w:val="center"/>
          </w:tcPr>
          <w:p>
            <w:pPr>
              <w:spacing w:after="0"/>
            </w:pPr>
            <w:r/>
            <w:r>
              <w:rPr>
                <w:rFonts w:ascii="Aptos" w:hAnsi="Aptos"/>
                <w:b w:val="0"/>
                <w:sz w:val="14"/>
              </w:rPr>
              <w:t>Rates, fees, settings and rate limits diverge across workers and disappear on restart.</w:t>
            </w:r>
          </w:p>
        </w:tc>
        <w:tc>
          <w:tcPr>
            <w:tcW w:type="dxa" w:w="2484"/>
            <w:vAlign w:val="center"/>
          </w:tcPr>
          <w:p>
            <w:pPr>
              <w:spacing w:after="0"/>
            </w:pPr>
            <w:r/>
            <w:r>
              <w:rPr>
                <w:rFonts w:ascii="Aptos" w:hAnsi="Aptos"/>
                <w:b w:val="0"/>
                <w:sz w:val="14"/>
              </w:rPr>
              <w:t>Use shared durable state with versioning/invalidation.</w:t>
            </w:r>
          </w:p>
        </w:tc>
        <w:tc>
          <w:tcPr>
            <w:tcW w:type="dxa" w:w="2484"/>
            <w:vAlign w:val="center"/>
          </w:tcPr>
          <w:p>
            <w:pPr>
              <w:spacing w:after="0"/>
            </w:pPr>
            <w:r/>
            <w:r>
              <w:rPr>
                <w:rFonts w:ascii="Aptos" w:hAnsi="Aptos"/>
                <w:b w:val="0"/>
                <w:sz w:val="14"/>
              </w:rPr>
              <w:t>Platform</w:t>
            </w:r>
          </w:p>
        </w:tc>
      </w:tr>
      <w:tr>
        <w:tc>
          <w:tcPr>
            <w:tcW w:type="dxa" w:w="2484"/>
            <w:vAlign w:val="center"/>
            <w:shd w:fill="F3F5F7"/>
          </w:tcPr>
          <w:p>
            <w:pPr>
              <w:spacing w:after="0"/>
            </w:pPr>
            <w:r/>
            <w:r>
              <w:rPr>
                <w:rFonts w:ascii="Aptos" w:hAnsi="Aptos"/>
                <w:b/>
                <w:color w:val="18324A"/>
                <w:sz w:val="15"/>
              </w:rPr>
              <w:t>Medium</w:t>
              <w:br/>
              <w:t>Limits not enforced</w:t>
            </w:r>
          </w:p>
        </w:tc>
        <w:tc>
          <w:tcPr>
            <w:tcW w:type="dxa" w:w="2484"/>
            <w:vAlign w:val="center"/>
            <w:shd w:fill="F3F5F7"/>
          </w:tcPr>
          <w:p>
            <w:pPr>
              <w:spacing w:after="0"/>
            </w:pPr>
            <w:r/>
            <w:r>
              <w:rPr>
                <w:rFonts w:ascii="Aptos" w:hAnsi="Aptos"/>
                <w:b w:val="0"/>
                <w:sz w:val="14"/>
              </w:rPr>
              <w:t>Daily/monthly and operational settings are stored or incremented but not consistently checked/reset.</w:t>
            </w:r>
          </w:p>
        </w:tc>
        <w:tc>
          <w:tcPr>
            <w:tcW w:type="dxa" w:w="2484"/>
            <w:vAlign w:val="center"/>
            <w:shd w:fill="F3F5F7"/>
          </w:tcPr>
          <w:p>
            <w:pPr>
              <w:spacing w:after="0"/>
            </w:pPr>
            <w:r/>
            <w:r>
              <w:rPr>
                <w:rFonts w:ascii="Aptos" w:hAnsi="Aptos"/>
                <w:b w:val="0"/>
                <w:sz w:val="14"/>
              </w:rPr>
              <w:t>Centralize policy checks in the transfer service.</w:t>
            </w:r>
          </w:p>
        </w:tc>
        <w:tc>
          <w:tcPr>
            <w:tcW w:type="dxa" w:w="2484"/>
            <w:vAlign w:val="center"/>
            <w:shd w:fill="F3F5F7"/>
          </w:tcPr>
          <w:p>
            <w:pPr>
              <w:spacing w:after="0"/>
            </w:pPr>
            <w:r/>
            <w:r>
              <w:rPr>
                <w:rFonts w:ascii="Aptos" w:hAnsi="Aptos"/>
                <w:b w:val="0"/>
                <w:sz w:val="14"/>
              </w:rPr>
              <w:t>Payments / Ledger</w:t>
            </w:r>
          </w:p>
        </w:tc>
      </w:tr>
      <w:tr>
        <w:tc>
          <w:tcPr>
            <w:tcW w:type="dxa" w:w="2484"/>
            <w:vAlign w:val="center"/>
          </w:tcPr>
          <w:p>
            <w:pPr>
              <w:spacing w:after="0"/>
            </w:pPr>
            <w:r/>
            <w:r>
              <w:rPr>
                <w:rFonts w:ascii="Aptos" w:hAnsi="Aptos"/>
                <w:b/>
                <w:color w:val="18324A"/>
                <w:sz w:val="15"/>
              </w:rPr>
              <w:t>Medium</w:t>
              <w:br/>
              <w:t>False-positive health</w:t>
            </w:r>
          </w:p>
        </w:tc>
        <w:tc>
          <w:tcPr>
            <w:tcW w:type="dxa" w:w="2484"/>
            <w:vAlign w:val="center"/>
          </w:tcPr>
          <w:p>
            <w:pPr>
              <w:spacing w:after="0"/>
            </w:pPr>
            <w:r/>
            <w:r>
              <w:rPr>
                <w:rFonts w:ascii="Aptos" w:hAnsi="Aptos"/>
                <w:b w:val="0"/>
                <w:sz w:val="14"/>
              </w:rPr>
              <w:t>Startup may swallow database failure while health still reports healthy.</w:t>
            </w:r>
          </w:p>
        </w:tc>
        <w:tc>
          <w:tcPr>
            <w:tcW w:type="dxa" w:w="2484"/>
            <w:vAlign w:val="center"/>
          </w:tcPr>
          <w:p>
            <w:pPr>
              <w:spacing w:after="0"/>
            </w:pPr>
            <w:r/>
            <w:r>
              <w:rPr>
                <w:rFonts w:ascii="Aptos" w:hAnsi="Aptos"/>
                <w:b w:val="0"/>
                <w:sz w:val="14"/>
              </w:rPr>
              <w:t>Separate liveness from dependency readiness.</w:t>
            </w:r>
          </w:p>
        </w:tc>
        <w:tc>
          <w:tcPr>
            <w:tcW w:type="dxa" w:w="2484"/>
            <w:vAlign w:val="center"/>
          </w:tcPr>
          <w:p>
            <w:pPr>
              <w:spacing w:after="0"/>
            </w:pPr>
            <w:r/>
            <w:r>
              <w:rPr>
                <w:rFonts w:ascii="Aptos" w:hAnsi="Aptos"/>
                <w:b w:val="0"/>
                <w:sz w:val="14"/>
              </w:rPr>
              <w:t>Platform</w:t>
            </w:r>
          </w:p>
        </w:tc>
      </w:tr>
      <w:tr>
        <w:tc>
          <w:tcPr>
            <w:tcW w:type="dxa" w:w="2484"/>
            <w:vAlign w:val="center"/>
            <w:shd w:fill="F3F5F7"/>
          </w:tcPr>
          <w:p>
            <w:pPr>
              <w:spacing w:after="0"/>
            </w:pPr>
            <w:r/>
            <w:r>
              <w:rPr>
                <w:rFonts w:ascii="Aptos" w:hAnsi="Aptos"/>
                <w:b/>
                <w:color w:val="18324A"/>
                <w:sz w:val="15"/>
              </w:rPr>
              <w:t>Medium</w:t>
              <w:br/>
              <w:t>Migration ownership split</w:t>
            </w:r>
          </w:p>
        </w:tc>
        <w:tc>
          <w:tcPr>
            <w:tcW w:type="dxa" w:w="2484"/>
            <w:vAlign w:val="center"/>
            <w:shd w:fill="F3F5F7"/>
          </w:tcPr>
          <w:p>
            <w:pPr>
              <w:spacing w:after="0"/>
            </w:pPr>
            <w:r/>
            <w:r>
              <w:rPr>
                <w:rFonts w:ascii="Aptos" w:hAnsi="Aptos"/>
                <w:b w:val="0"/>
                <w:sz w:val="14"/>
              </w:rPr>
              <w:t>Runtime create_all and Alembic both modify schema expectations.</w:t>
            </w:r>
          </w:p>
        </w:tc>
        <w:tc>
          <w:tcPr>
            <w:tcW w:type="dxa" w:w="2484"/>
            <w:vAlign w:val="center"/>
            <w:shd w:fill="F3F5F7"/>
          </w:tcPr>
          <w:p>
            <w:pPr>
              <w:spacing w:after="0"/>
            </w:pPr>
            <w:r/>
            <w:r>
              <w:rPr>
                <w:rFonts w:ascii="Aptos" w:hAnsi="Aptos"/>
                <w:b w:val="0"/>
                <w:sz w:val="14"/>
              </w:rPr>
              <w:t>Make Alembic the sole production schema mechanism.</w:t>
            </w:r>
          </w:p>
        </w:tc>
        <w:tc>
          <w:tcPr>
            <w:tcW w:type="dxa" w:w="2484"/>
            <w:vAlign w:val="center"/>
            <w:shd w:fill="F3F5F7"/>
          </w:tcPr>
          <w:p>
            <w:pPr>
              <w:spacing w:after="0"/>
            </w:pPr>
            <w:r/>
            <w:r>
              <w:rPr>
                <w:rFonts w:ascii="Aptos" w:hAnsi="Aptos"/>
                <w:b w:val="0"/>
                <w:sz w:val="14"/>
              </w:rPr>
              <w:t>Platform</w:t>
            </w:r>
          </w:p>
        </w:tc>
      </w:tr>
      <w:tr>
        <w:tc>
          <w:tcPr>
            <w:tcW w:type="dxa" w:w="2484"/>
            <w:vAlign w:val="center"/>
          </w:tcPr>
          <w:p>
            <w:pPr>
              <w:spacing w:after="0"/>
            </w:pPr>
            <w:r/>
            <w:r>
              <w:rPr>
                <w:rFonts w:ascii="Aptos" w:hAnsi="Aptos"/>
                <w:b/>
                <w:color w:val="18324A"/>
                <w:sz w:val="15"/>
              </w:rPr>
              <w:t>Medium</w:t>
              <w:br/>
              <w:t>Ambiguous phone lookup</w:t>
            </w:r>
          </w:p>
        </w:tc>
        <w:tc>
          <w:tcPr>
            <w:tcW w:type="dxa" w:w="2484"/>
            <w:vAlign w:val="center"/>
          </w:tcPr>
          <w:p>
            <w:pPr>
              <w:spacing w:after="0"/>
            </w:pPr>
            <w:r/>
            <w:r>
              <w:rPr>
                <w:rFonts w:ascii="Aptos" w:hAnsi="Aptos"/>
                <w:b w:val="0"/>
                <w:sz w:val="14"/>
              </w:rPr>
              <w:t>Suffix matching down to six digits can select the wrong user.</w:t>
            </w:r>
          </w:p>
        </w:tc>
        <w:tc>
          <w:tcPr>
            <w:tcW w:type="dxa" w:w="2484"/>
            <w:vAlign w:val="center"/>
          </w:tcPr>
          <w:p>
            <w:pPr>
              <w:spacing w:after="0"/>
            </w:pPr>
            <w:r/>
            <w:r>
              <w:rPr>
                <w:rFonts w:ascii="Aptos" w:hAnsi="Aptos"/>
                <w:b w:val="0"/>
                <w:sz w:val="14"/>
              </w:rPr>
              <w:t>Require canonical E.164 identity and reject ambiguous matches.</w:t>
            </w:r>
          </w:p>
        </w:tc>
        <w:tc>
          <w:tcPr>
            <w:tcW w:type="dxa" w:w="2484"/>
            <w:vAlign w:val="center"/>
          </w:tcPr>
          <w:p>
            <w:pPr>
              <w:spacing w:after="0"/>
            </w:pPr>
            <w:r/>
            <w:r>
              <w:rPr>
                <w:rFonts w:ascii="Aptos" w:hAnsi="Aptos"/>
                <w:b w:val="0"/>
                <w:sz w:val="14"/>
              </w:rPr>
              <w:t>Payments / Ledger</w:t>
            </w:r>
          </w:p>
        </w:tc>
      </w:tr>
      <w:tr>
        <w:tc>
          <w:tcPr>
            <w:tcW w:type="dxa" w:w="2484"/>
            <w:vAlign w:val="center"/>
            <w:shd w:fill="F3F5F7"/>
          </w:tcPr>
          <w:p>
            <w:pPr>
              <w:spacing w:after="0"/>
            </w:pPr>
            <w:r/>
            <w:r>
              <w:rPr>
                <w:rFonts w:ascii="Aptos" w:hAnsi="Aptos"/>
                <w:b/>
                <w:color w:val="18324A"/>
                <w:sz w:val="15"/>
              </w:rPr>
              <w:t>Medium</w:t>
              <w:br/>
              <w:t>Large handlers and string state</w:t>
            </w:r>
          </w:p>
        </w:tc>
        <w:tc>
          <w:tcPr>
            <w:tcW w:type="dxa" w:w="2484"/>
            <w:vAlign w:val="center"/>
            <w:shd w:fill="F3F5F7"/>
          </w:tcPr>
          <w:p>
            <w:pPr>
              <w:spacing w:after="0"/>
            </w:pPr>
            <w:r/>
            <w:r>
              <w:rPr>
                <w:rFonts w:ascii="Aptos" w:hAnsi="Aptos"/>
                <w:b w:val="0"/>
                <w:sz w:val="14"/>
              </w:rPr>
              <w:t>Business rules are duplicated and statuses are mostly unconstrained strings.</w:t>
            </w:r>
          </w:p>
        </w:tc>
        <w:tc>
          <w:tcPr>
            <w:tcW w:type="dxa" w:w="2484"/>
            <w:vAlign w:val="center"/>
            <w:shd w:fill="F3F5F7"/>
          </w:tcPr>
          <w:p>
            <w:pPr>
              <w:spacing w:after="0"/>
            </w:pPr>
            <w:r/>
            <w:r>
              <w:rPr>
                <w:rFonts w:ascii="Aptos" w:hAnsi="Aptos"/>
                <w:b w:val="0"/>
                <w:sz w:val="14"/>
              </w:rPr>
              <w:t>Extract services and use enums/state-transition guards.</w:t>
            </w:r>
          </w:p>
        </w:tc>
        <w:tc>
          <w:tcPr>
            <w:tcW w:type="dxa" w:w="2484"/>
            <w:vAlign w:val="center"/>
            <w:shd w:fill="F3F5F7"/>
          </w:tcPr>
          <w:p>
            <w:pPr>
              <w:spacing w:after="0"/>
            </w:pPr>
            <w:r/>
            <w:r>
              <w:rPr>
                <w:rFonts w:ascii="Aptos" w:hAnsi="Aptos"/>
                <w:b w:val="0"/>
                <w:sz w:val="14"/>
              </w:rPr>
              <w:t>Payments / Ledger</w:t>
            </w:r>
          </w:p>
        </w:tc>
      </w:tr>
      <w:tr>
        <w:tc>
          <w:tcPr>
            <w:tcW w:type="dxa" w:w="2484"/>
            <w:vAlign w:val="center"/>
          </w:tcPr>
          <w:p>
            <w:pPr>
              <w:spacing w:after="0"/>
            </w:pPr>
            <w:r/>
            <w:r>
              <w:rPr>
                <w:rFonts w:ascii="Aptos" w:hAnsi="Aptos"/>
                <w:b/>
                <w:color w:val="B54708"/>
                <w:sz w:val="15"/>
              </w:rPr>
              <w:t>High</w:t>
              <w:br/>
              <w:t>No automated tests</w:t>
            </w:r>
          </w:p>
        </w:tc>
        <w:tc>
          <w:tcPr>
            <w:tcW w:type="dxa" w:w="2484"/>
            <w:vAlign w:val="center"/>
          </w:tcPr>
          <w:p>
            <w:pPr>
              <w:spacing w:after="0"/>
            </w:pPr>
            <w:r/>
            <w:r>
              <w:rPr>
                <w:rFonts w:ascii="Aptos" w:hAnsi="Aptos"/>
                <w:b w:val="0"/>
                <w:sz w:val="14"/>
              </w:rPr>
              <w:t>Authorization, money movement, concurrency and settlement behavior lack regression protection.</w:t>
            </w:r>
          </w:p>
        </w:tc>
        <w:tc>
          <w:tcPr>
            <w:tcW w:type="dxa" w:w="2484"/>
            <w:vAlign w:val="center"/>
          </w:tcPr>
          <w:p>
            <w:pPr>
              <w:spacing w:after="0"/>
            </w:pPr>
            <w:r/>
            <w:r>
              <w:rPr>
                <w:rFonts w:ascii="Aptos" w:hAnsi="Aptos"/>
                <w:b w:val="0"/>
                <w:sz w:val="14"/>
              </w:rPr>
              <w:t>Build risk-driven unit, integration and concurrency suites.</w:t>
            </w:r>
          </w:p>
        </w:tc>
        <w:tc>
          <w:tcPr>
            <w:tcW w:type="dxa" w:w="2484"/>
            <w:vAlign w:val="center"/>
          </w:tcPr>
          <w:p>
            <w:pPr>
              <w:spacing w:after="0"/>
            </w:pPr>
            <w:r/>
            <w:r>
              <w:rPr>
                <w:rFonts w:ascii="Aptos" w:hAnsi="Aptos"/>
                <w:b w:val="0"/>
                <w:sz w:val="14"/>
              </w:rPr>
              <w:t>Platform</w:t>
            </w:r>
          </w:p>
        </w:tc>
      </w:tr>
    </w:tbl>
    <w:p>
      <w:pPr>
        <w:pStyle w:val="Heading1"/>
        <w:keepNext/>
      </w:pPr>
      <w:r>
        <w:t>8. Recommended Target Architecture</w:t>
      </w:r>
    </w:p>
    <w:p>
      <w:r>
        <w:t>Retain the modular monolith while creating enforceable internal boundaries. HTTP handlers should translate requests and responses; application services should own workflows; repositories and a unit of work should own persistence; provider adapters should implement explicit ports.</w:t>
      </w:r>
    </w:p>
    <w:tbl>
      <w:tblPr>
        <w:tblStyle w:val="TableGrid"/>
        <w:tblW w:type="auto" w:w="0"/>
        <w:jc w:val="center"/>
        <w:tblLook w:firstColumn="1" w:firstRow="1" w:lastColumn="0" w:lastRow="0" w:noHBand="0" w:noVBand="1" w:val="04A0"/>
      </w:tblPr>
      <w:tblGrid>
        <w:gridCol w:w="9936"/>
      </w:tblGrid>
      <w:tr>
        <w:tc>
          <w:tcPr>
            <w:tcW w:type="dxa" w:w="9936"/>
            <w:vAlign w:val="center"/>
            <w:shd w:fill="18324A"/>
          </w:tcPr>
          <w:p>
            <w:pPr>
              <w:spacing w:after="0"/>
              <w:jc w:val="center"/>
            </w:pPr>
            <w:r/>
            <w:r>
              <w:rPr>
                <w:rFonts w:ascii="Aptos" w:hAnsi="Aptos"/>
                <w:b/>
                <w:color w:val="FFFFFF"/>
                <w:sz w:val="18"/>
              </w:rPr>
              <w:t>HTTP ROUTERS  •  validation  •  authentication  •  response mapping</w:t>
            </w:r>
          </w:p>
        </w:tc>
      </w:tr>
      <w:tr>
        <w:tc>
          <w:tcPr>
            <w:tcW w:type="dxa" w:w="9936"/>
            <w:vAlign w:val="center"/>
            <w:shd w:fill="FFFFFF"/>
          </w:tcPr>
          <w:p>
            <w:pPr>
              <w:spacing w:after="0"/>
              <w:jc w:val="center"/>
            </w:pPr>
            <w:r/>
            <w:r>
              <w:rPr>
                <w:rFonts w:ascii="Aptos" w:hAnsi="Aptos"/>
                <w:b w:val="0"/>
                <w:color w:val="138A8A"/>
                <w:sz w:val="18"/>
              </w:rPr>
              <w:t>↓</w:t>
            </w:r>
          </w:p>
        </w:tc>
      </w:tr>
      <w:tr>
        <w:tc>
          <w:tcPr>
            <w:tcW w:type="dxa" w:w="9936"/>
            <w:vAlign w:val="center"/>
            <w:shd w:fill="138A8A"/>
          </w:tcPr>
          <w:p>
            <w:pPr>
              <w:spacing w:after="0"/>
              <w:jc w:val="center"/>
            </w:pPr>
            <w:r/>
            <w:r>
              <w:rPr>
                <w:rFonts w:ascii="Aptos" w:hAnsi="Aptos"/>
                <w:b/>
                <w:color w:val="FFFFFF"/>
                <w:sz w:val="18"/>
              </w:rPr>
              <w:t>APPLICATION SERVICES  •  transfers  •  funding  •  payouts  •  KYC  •  pricing</w:t>
            </w:r>
          </w:p>
        </w:tc>
      </w:tr>
      <w:tr>
        <w:tc>
          <w:tcPr>
            <w:tcW w:type="dxa" w:w="9936"/>
            <w:vAlign w:val="center"/>
            <w:shd w:fill="FFFFFF"/>
          </w:tcPr>
          <w:p>
            <w:pPr>
              <w:spacing w:after="0"/>
              <w:jc w:val="center"/>
            </w:pPr>
            <w:r/>
            <w:r>
              <w:rPr>
                <w:rFonts w:ascii="Aptos" w:hAnsi="Aptos"/>
                <w:b w:val="0"/>
                <w:color w:val="138A8A"/>
                <w:sz w:val="18"/>
              </w:rPr>
              <w:t>↓                                  ↓</w:t>
            </w:r>
          </w:p>
        </w:tc>
      </w:tr>
      <w:tr>
        <w:tc>
          <w:tcPr>
            <w:tcW w:type="dxa" w:w="9936"/>
            <w:vAlign w:val="center"/>
            <w:shd w:fill="EAF0F5"/>
          </w:tcPr>
          <w:p>
            <w:pPr>
              <w:spacing w:after="0"/>
              <w:jc w:val="center"/>
            </w:pPr>
            <w:r/>
            <w:r>
              <w:rPr>
                <w:rFonts w:ascii="Aptos" w:hAnsi="Aptos"/>
                <w:b/>
                <w:color w:val="18324A"/>
                <w:sz w:val="18"/>
              </w:rPr>
              <w:t>DOMAIN POLICIES / LEDGER                 PROVIDER PORTS</w:t>
            </w:r>
          </w:p>
        </w:tc>
      </w:tr>
      <w:tr>
        <w:tc>
          <w:tcPr>
            <w:tcW w:type="dxa" w:w="9936"/>
            <w:vAlign w:val="center"/>
            <w:shd w:fill="FFFFFF"/>
          </w:tcPr>
          <w:p>
            <w:pPr>
              <w:spacing w:after="0"/>
              <w:jc w:val="center"/>
            </w:pPr>
            <w:r/>
            <w:r>
              <w:rPr>
                <w:rFonts w:ascii="Aptos" w:hAnsi="Aptos"/>
                <w:b w:val="0"/>
                <w:color w:val="138A8A"/>
                <w:sz w:val="18"/>
              </w:rPr>
              <w:t>↓                                  ↓</w:t>
            </w:r>
          </w:p>
        </w:tc>
      </w:tr>
      <w:tr>
        <w:tc>
          <w:tcPr>
            <w:tcW w:type="dxa" w:w="9936"/>
            <w:vAlign w:val="center"/>
            <w:shd w:fill="18324A"/>
          </w:tcPr>
          <w:p>
            <w:pPr>
              <w:spacing w:after="0"/>
              <w:jc w:val="center"/>
            </w:pPr>
            <w:r/>
            <w:r>
              <w:rPr>
                <w:rFonts w:ascii="Aptos" w:hAnsi="Aptos"/>
                <w:b/>
                <w:color w:val="FFFFFF"/>
                <w:sz w:val="18"/>
              </w:rPr>
              <w:t>REPOSITORIES + UNIT OF WORK          ADAPTERS + OUTBOX + WEBHOOKS</w:t>
            </w:r>
          </w:p>
        </w:tc>
      </w:tr>
    </w:tbl>
    <w:p>
      <w:pPr>
        <w:pStyle w:val="Heading2"/>
        <w:keepNext/>
      </w:pPr>
      <w:r>
        <w:t>Core design changes</w:t>
      </w:r>
    </w:p>
    <w:p>
      <w:pPr>
        <w:pStyle w:val="ListBullet"/>
        <w:spacing w:after="40"/>
      </w:pPr>
      <w:r>
        <w:t>WalletTransferService: validates policy, locks accounts deterministically and posts balanced ledger entries.</w:t>
      </w:r>
    </w:p>
    <w:p>
      <w:pPr>
        <w:pStyle w:val="ListBullet"/>
        <w:spacing w:after="40"/>
      </w:pPr>
      <w:r>
        <w:t>FundingService and PayoutService: model initiated, processing, settled, failed, reversed and uncertain states.</w:t>
      </w:r>
    </w:p>
    <w:p>
      <w:pPr>
        <w:pStyle w:val="ListBullet"/>
        <w:spacing w:after="40"/>
      </w:pPr>
      <w:r>
        <w:t>PricingService: returns a versioned quote whose rate and fee are bound to execution.</w:t>
      </w:r>
    </w:p>
    <w:p>
      <w:pPr>
        <w:pStyle w:val="ListBullet"/>
        <w:spacing w:after="40"/>
      </w:pPr>
      <w:r>
        <w:t>Provider ports: expose idempotent commands independent of card, ACH or Wave implementations.</w:t>
      </w:r>
    </w:p>
    <w:p>
      <w:pPr>
        <w:pStyle w:val="ListBullet"/>
        <w:spacing w:after="40"/>
      </w:pPr>
      <w:r>
        <w:t>Outbox and worker: persist provider work in the same transaction as internal state changes.</w:t>
      </w:r>
    </w:p>
    <w:p>
      <w:pPr>
        <w:pStyle w:val="ListBullet"/>
        <w:spacing w:after="40"/>
      </w:pPr>
      <w:r>
        <w:t>Reconciliation: compare provider events with local transactions and flag or repair discrepancies.</w:t>
      </w:r>
    </w:p>
    <w:p>
      <w:pPr>
        <w:pStyle w:val="Heading1"/>
        <w:keepNext/>
      </w:pPr>
      <w:r>
        <w:t>9. Prioritized Remediation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18324A"/>
          </w:tcPr>
          <w:p>
            <w:pPr>
              <w:spacing w:after="0"/>
            </w:pPr>
            <w:r/>
            <w:r>
              <w:rPr>
                <w:rFonts w:ascii="Aptos" w:hAnsi="Aptos"/>
                <w:b/>
                <w:color w:val="FFFFFF"/>
                <w:sz w:val="16"/>
              </w:rPr>
              <w:t>Horizon</w:t>
            </w:r>
          </w:p>
        </w:tc>
        <w:tc>
          <w:tcPr>
            <w:tcW w:type="dxa" w:w="5472"/>
            <w:vAlign w:val="center"/>
            <w:shd w:fill="18324A"/>
          </w:tcPr>
          <w:p>
            <w:pPr>
              <w:spacing w:after="0"/>
            </w:pPr>
            <w:r/>
            <w:r>
              <w:rPr>
                <w:rFonts w:ascii="Aptos" w:hAnsi="Aptos"/>
                <w:b/>
                <w:color w:val="FFFFFF"/>
                <w:sz w:val="16"/>
              </w:rPr>
              <w:t>Priority actions</w:t>
            </w:r>
          </w:p>
        </w:tc>
        <w:tc>
          <w:tcPr>
            <w:tcW w:type="dxa" w:w="2952"/>
            <w:vAlign w:val="center"/>
            <w:shd w:fill="18324A"/>
          </w:tcPr>
          <w:p>
            <w:pPr>
              <w:spacing w:after="0"/>
            </w:pPr>
            <w:r/>
            <w:r>
              <w:rPr>
                <w:rFonts w:ascii="Aptos" w:hAnsi="Aptos"/>
                <w:b/>
                <w:color w:val="FFFFFF"/>
                <w:sz w:val="16"/>
              </w:rPr>
              <w:t>Exit criteria</w:t>
            </w:r>
          </w:p>
        </w:tc>
      </w:tr>
      <w:tr>
        <w:tc>
          <w:tcPr>
            <w:tcW w:type="dxa" w:w="1584"/>
            <w:vAlign w:val="center"/>
          </w:tcPr>
          <w:p>
            <w:pPr>
              <w:spacing w:after="0"/>
            </w:pPr>
            <w:r/>
            <w:r>
              <w:rPr>
                <w:rFonts w:ascii="Aptos" w:hAnsi="Aptos"/>
                <w:b w:val="0"/>
                <w:color w:val="18324A"/>
                <w:sz w:val="16"/>
              </w:rPr>
              <w:t>Immediate</w:t>
              <w:br/>
              <w:t>0–2 weeks</w:t>
            </w:r>
          </w:p>
        </w:tc>
        <w:tc>
          <w:tcPr>
            <w:tcW w:type="dxa" w:w="5472"/>
            <w:vAlign w:val="center"/>
          </w:tcPr>
          <w:p>
            <w:pPr>
              <w:spacing w:after="0"/>
            </w:pPr>
            <w:r/>
            <w:r>
              <w:rPr>
                <w:rFonts w:ascii="Aptos" w:hAnsi="Aptos"/>
                <w:b w:val="0"/>
                <w:color w:val="18324A"/>
                <w:sz w:val="16"/>
              </w:rPr>
              <w:t>Disable simulated funding; fix KYC authorization; remove unsafe defaults; enforce TLS; add readiness checks.</w:t>
            </w:r>
          </w:p>
        </w:tc>
        <w:tc>
          <w:tcPr>
            <w:tcW w:type="dxa" w:w="2952"/>
            <w:vAlign w:val="center"/>
          </w:tcPr>
          <w:p>
            <w:pPr>
              <w:spacing w:after="0"/>
            </w:pPr>
            <w:r/>
            <w:r>
              <w:rPr>
                <w:rFonts w:ascii="Aptos" w:hAnsi="Aptos"/>
                <w:b w:val="0"/>
                <w:color w:val="18324A"/>
                <w:sz w:val="16"/>
              </w:rPr>
              <w:t>No known direct balance-minting or trivial privilege-escalation path.</w:t>
            </w:r>
          </w:p>
        </w:tc>
      </w:tr>
      <w:tr>
        <w:tc>
          <w:tcPr>
            <w:tcW w:type="dxa" w:w="1584"/>
            <w:vAlign w:val="center"/>
            <w:shd w:fill="F3F5F7"/>
          </w:tcPr>
          <w:p>
            <w:pPr>
              <w:spacing w:after="0"/>
            </w:pPr>
            <w:r/>
            <w:r>
              <w:rPr>
                <w:rFonts w:ascii="Aptos" w:hAnsi="Aptos"/>
                <w:b w:val="0"/>
                <w:color w:val="18324A"/>
                <w:sz w:val="16"/>
              </w:rPr>
              <w:t>Near term</w:t>
              <w:br/>
              <w:t>2–6 weeks</w:t>
            </w:r>
          </w:p>
        </w:tc>
        <w:tc>
          <w:tcPr>
            <w:tcW w:type="dxa" w:w="5472"/>
            <w:vAlign w:val="center"/>
            <w:shd w:fill="F3F5F7"/>
          </w:tcPr>
          <w:p>
            <w:pPr>
              <w:spacing w:after="0"/>
            </w:pPr>
            <w:r/>
            <w:r>
              <w:rPr>
                <w:rFonts w:ascii="Aptos" w:hAnsi="Aptos"/>
                <w:b w:val="0"/>
                <w:color w:val="18324A"/>
                <w:sz w:val="16"/>
              </w:rPr>
              <w:t>Adopt Decimal; lock every balance mutation; enforce limits; add idempotency; add critical authorization and money-flow tests.</w:t>
            </w:r>
          </w:p>
        </w:tc>
        <w:tc>
          <w:tcPr>
            <w:tcW w:type="dxa" w:w="2952"/>
            <w:vAlign w:val="center"/>
            <w:shd w:fill="F3F5F7"/>
          </w:tcPr>
          <w:p>
            <w:pPr>
              <w:spacing w:after="0"/>
            </w:pPr>
            <w:r/>
            <w:r>
              <w:rPr>
                <w:rFonts w:ascii="Aptos" w:hAnsi="Aptos"/>
                <w:b w:val="0"/>
                <w:color w:val="18324A"/>
                <w:sz w:val="16"/>
              </w:rPr>
              <w:t>Concurrent and retried requests preserve balances and execute once.</w:t>
            </w:r>
          </w:p>
        </w:tc>
      </w:tr>
      <w:tr>
        <w:tc>
          <w:tcPr>
            <w:tcW w:type="dxa" w:w="1584"/>
            <w:vAlign w:val="center"/>
          </w:tcPr>
          <w:p>
            <w:pPr>
              <w:spacing w:after="0"/>
            </w:pPr>
            <w:r/>
            <w:r>
              <w:rPr>
                <w:rFonts w:ascii="Aptos" w:hAnsi="Aptos"/>
                <w:b w:val="0"/>
                <w:color w:val="18324A"/>
                <w:sz w:val="16"/>
              </w:rPr>
              <w:t>Foundation</w:t>
              <w:br/>
              <w:t>1–3 months</w:t>
            </w:r>
          </w:p>
        </w:tc>
        <w:tc>
          <w:tcPr>
            <w:tcW w:type="dxa" w:w="5472"/>
            <w:vAlign w:val="center"/>
          </w:tcPr>
          <w:p>
            <w:pPr>
              <w:spacing w:after="0"/>
            </w:pPr>
            <w:r/>
            <w:r>
              <w:rPr>
                <w:rFonts w:ascii="Aptos" w:hAnsi="Aptos"/>
                <w:b w:val="0"/>
                <w:color w:val="18324A"/>
                <w:sz w:val="16"/>
              </w:rPr>
              <w:t>Introduce application services, double-entry ledger, provider state machines, outbox worker and webhook processing.</w:t>
            </w:r>
          </w:p>
        </w:tc>
        <w:tc>
          <w:tcPr>
            <w:tcW w:type="dxa" w:w="2952"/>
            <w:vAlign w:val="center"/>
          </w:tcPr>
          <w:p>
            <w:pPr>
              <w:spacing w:after="0"/>
            </w:pPr>
            <w:r/>
            <w:r>
              <w:rPr>
                <w:rFonts w:ascii="Aptos" w:hAnsi="Aptos"/>
                <w:b w:val="0"/>
                <w:color w:val="18324A"/>
                <w:sz w:val="16"/>
              </w:rPr>
              <w:t>Every wallet balance is explainable by immutable postings and recoverable settlement state.</w:t>
            </w:r>
          </w:p>
        </w:tc>
      </w:tr>
      <w:tr>
        <w:tc>
          <w:tcPr>
            <w:tcW w:type="dxa" w:w="1584"/>
            <w:vAlign w:val="center"/>
            <w:shd w:fill="F3F5F7"/>
          </w:tcPr>
          <w:p>
            <w:pPr>
              <w:spacing w:after="0"/>
            </w:pPr>
            <w:r/>
            <w:r>
              <w:rPr>
                <w:rFonts w:ascii="Aptos" w:hAnsi="Aptos"/>
                <w:b w:val="0"/>
                <w:color w:val="18324A"/>
                <w:sz w:val="16"/>
              </w:rPr>
              <w:t>Scale readiness</w:t>
              <w:br/>
              <w:t>3–6 months</w:t>
            </w:r>
          </w:p>
        </w:tc>
        <w:tc>
          <w:tcPr>
            <w:tcW w:type="dxa" w:w="5472"/>
            <w:vAlign w:val="center"/>
            <w:shd w:fill="F3F5F7"/>
          </w:tcPr>
          <w:p>
            <w:pPr>
              <w:spacing w:after="0"/>
            </w:pPr>
            <w:r/>
            <w:r>
              <w:rPr>
                <w:rFonts w:ascii="Aptos" w:hAnsi="Aptos"/>
                <w:b w:val="0"/>
                <w:color w:val="18324A"/>
                <w:sz w:val="16"/>
              </w:rPr>
              <w:t>Replace local caches/limits, add reconciliation and observability, remove create_all, test migrations and failure recovery.</w:t>
            </w:r>
          </w:p>
        </w:tc>
        <w:tc>
          <w:tcPr>
            <w:tcW w:type="dxa" w:w="2952"/>
            <w:vAlign w:val="center"/>
            <w:shd w:fill="F3F5F7"/>
          </w:tcPr>
          <w:p>
            <w:pPr>
              <w:spacing w:after="0"/>
            </w:pPr>
            <w:r/>
            <w:r>
              <w:rPr>
                <w:rFonts w:ascii="Aptos" w:hAnsi="Aptos"/>
                <w:b w:val="0"/>
                <w:color w:val="18324A"/>
                <w:sz w:val="16"/>
              </w:rPr>
              <w:t>Multiple replicas operate consistently with measurable recovery objectives.</w:t>
            </w:r>
          </w:p>
        </w:tc>
      </w:tr>
    </w:tbl>
    <w:p>
      <w:pPr>
        <w:spacing w:after="0"/>
      </w:pPr>
    </w:p>
    <w:p>
      <w:pPr>
        <w:pStyle w:val="Heading2"/>
        <w:keepNext/>
      </w:pPr>
      <w:r>
        <w:t>Suggested test portfolio</w:t>
      </w:r>
    </w:p>
    <w:p>
      <w:pPr>
        <w:pStyle w:val="ListBullet"/>
        <w:spacing w:after="40"/>
      </w:pPr>
      <w:r>
        <w:t>Authorization matrix for every user, admin and role-restricted route.</w:t>
      </w:r>
    </w:p>
    <w:p>
      <w:pPr>
        <w:pStyle w:val="ListBullet"/>
        <w:spacing w:after="40"/>
      </w:pPr>
      <w:r>
        <w:t>Property-based ledger tests proving conservation of funds and fee invariants.</w:t>
      </w:r>
    </w:p>
    <w:p>
      <w:pPr>
        <w:pStyle w:val="ListBullet"/>
        <w:spacing w:after="40"/>
      </w:pPr>
      <w:r>
        <w:t>Concurrent transfer, top-up and payout tests against PostgreSQL.</w:t>
      </w:r>
    </w:p>
    <w:p>
      <w:pPr>
        <w:pStyle w:val="ListBullet"/>
        <w:spacing w:after="40"/>
      </w:pPr>
      <w:r>
        <w:t>Idempotent retry tests before, during and after provider timeouts.</w:t>
      </w:r>
    </w:p>
    <w:p>
      <w:pPr>
        <w:pStyle w:val="ListBullet"/>
        <w:spacing w:after="40"/>
      </w:pPr>
      <w:r>
        <w:t>Webhook replay, out-of-order event and reconciliation tests.</w:t>
      </w:r>
    </w:p>
    <w:p>
      <w:pPr>
        <w:pStyle w:val="ListBullet"/>
        <w:spacing w:after="40"/>
      </w:pPr>
      <w:r>
        <w:t>Alembic upgrade tests from every supported deployed version.</w:t>
      </w:r>
    </w:p>
    <w:p>
      <w:pPr>
        <w:pStyle w:val="Heading1"/>
        <w:keepNext/>
      </w:pPr>
      <w:r>
        <w:t>10. Assessment Notes</w:t>
      </w:r>
    </w:p>
    <w:p>
      <w:r>
        <w:t>This assessment is based on a static, read-only review of the repository as available on the review date. It covers application architecture and implementation evidence but does not include penetration testing, live infrastructure inspection, production configuration verification, provider contract review, or load testing.</w:t>
      </w:r>
    </w:p>
    <w:p>
      <w:r>
        <w:t>The source tree compiled successfully with Python compileall. No automated tests or test configuration were located. Existing unrelated working-tree changes were not modified.</w:t>
      </w:r>
    </w:p>
    <w:p>
      <w:pPr>
        <w:pStyle w:val="Heading2"/>
        <w:keepNext/>
      </w:pPr>
      <w:r>
        <w:t>Key files reviewed</w:t>
      </w:r>
    </w:p>
    <w:p>
      <w:pPr>
        <w:pStyle w:val="ListBullet"/>
        <w:spacing w:after="40"/>
      </w:pPr>
      <w:r>
        <w:t>main.py; config/database.py; config/rate_config.py</w:t>
      </w:r>
    </w:p>
    <w:p>
      <w:pPr>
        <w:pStyle w:val="ListBullet"/>
        <w:spacing w:after="40"/>
      </w:pPr>
      <w:r>
        <w:t>middleware/auth.py; middleware/ratelimit.py</w:t>
      </w:r>
    </w:p>
    <w:p>
      <w:pPr>
        <w:pStyle w:val="ListBullet"/>
        <w:spacing w:after="40"/>
      </w:pPr>
      <w:r>
        <w:t>models/user.py; models/wallet.py; models/payment_method.py and supporting models</w:t>
      </w:r>
    </w:p>
    <w:p>
      <w:pPr>
        <w:pStyle w:val="ListBullet"/>
        <w:spacing w:after="40"/>
      </w:pPr>
      <w:r>
        <w:t>handlers/auth.py; transfer.py; payment.py; cash.py; kyc.py; admin.py and supporting handlers</w:t>
      </w:r>
    </w:p>
    <w:p>
      <w:pPr>
        <w:pStyle w:val="ListBullet"/>
        <w:spacing w:after="40"/>
      </w:pPr>
      <w:r>
        <w:t>services/ach.py; card_payment.py; stripe_payment.py; wave_processor.py; SMS and SMTP integrations</w:t>
      </w:r>
    </w:p>
    <w:p>
      <w:pPr>
        <w:pStyle w:val="ListBullet"/>
        <w:spacing w:after="40"/>
      </w:pPr>
      <w:r>
        <w:t>Alembic migration history and deployment metadata</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784"/>
        <w:sz w:val="15"/>
      </w:rPr>
      <w:t xml:space="preserve">Confidential • Internal Engineering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97784"/>
        <w:sz w:val="15"/>
      </w:rPr>
      <w:t>KALIPEH WALLET  /  ARCHITECTURE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38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138A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 Backend Architecture Assessment</dc:title>
  <dc:subject>Architecture, dependencies, data flow, patterns and risk assessment</dc:subject>
  <dc:creator>OpenAI Codex</dc:creator>
  <cp:keywords>FastAPI, wallet, architecture, security, ledger, payments</cp:keywords>
  <dc:description>generated by python-docx</dc:description>
  <cp:lastModifiedBy/>
  <cp:revision>1</cp:revision>
  <dcterms:created xsi:type="dcterms:W3CDTF">2013-12-23T23:15:00Z</dcterms:created>
  <dcterms:modified xsi:type="dcterms:W3CDTF">2013-12-23T23:15:00Z</dcterms:modified>
  <cp:category/>
</cp:coreProperties>
</file>