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732" w:rsidRPr="004D00A8" w:rsidRDefault="004D00A8" w:rsidP="004D00A8">
      <w:pPr>
        <w:pStyle w:val="Titre1"/>
        <w:rPr>
          <w:lang w:val="fr-CA"/>
        </w:rPr>
      </w:pPr>
      <w:r w:rsidRPr="004D00A8">
        <w:rPr>
          <w:lang w:val="fr-CA"/>
        </w:rPr>
        <w:t xml:space="preserve">Exercices pour </w:t>
      </w:r>
      <w:r w:rsidR="001459A6">
        <w:rPr>
          <w:lang w:val="fr-CA"/>
        </w:rPr>
        <w:t>le thème</w:t>
      </w:r>
      <w:r w:rsidRPr="004D00A8">
        <w:rPr>
          <w:lang w:val="fr-CA"/>
        </w:rPr>
        <w:t xml:space="preserve"> </w:t>
      </w:r>
      <w:r w:rsidR="00143F80">
        <w:rPr>
          <w:lang w:val="fr-CA"/>
        </w:rPr>
        <w:t>2</w:t>
      </w:r>
      <w:r w:rsidR="005466B7" w:rsidRPr="004D00A8">
        <w:rPr>
          <w:lang w:val="fr-CA"/>
        </w:rPr>
        <w:t xml:space="preserve">: </w:t>
      </w:r>
      <w:r w:rsidRPr="004D00A8">
        <w:rPr>
          <w:lang w:val="fr-CA"/>
        </w:rPr>
        <w:t xml:space="preserve">les </w:t>
      </w:r>
      <w:r w:rsidR="005466B7" w:rsidRPr="004D00A8">
        <w:rPr>
          <w:lang w:val="fr-CA"/>
        </w:rPr>
        <w:t>règles d’association</w:t>
      </w:r>
    </w:p>
    <w:p w:rsidR="00A94598" w:rsidRDefault="00A94598"/>
    <w:p w:rsidR="00A94598" w:rsidRPr="007273E7" w:rsidRDefault="00C428C8" w:rsidP="00C428C8">
      <w:pPr>
        <w:pStyle w:val="Titre2"/>
      </w:pPr>
      <w:r>
        <w:t xml:space="preserve">Exercice </w:t>
      </w:r>
      <w:r w:rsidR="007273E7" w:rsidRPr="007273E7">
        <w:t>1</w:t>
      </w:r>
    </w:p>
    <w:p w:rsidR="00A94598" w:rsidRDefault="00037476" w:rsidP="007273E7">
      <w:r>
        <w:t xml:space="preserve">Répondre aux questions suivantes </w:t>
      </w:r>
      <w:r w:rsidR="009C1587">
        <w:t xml:space="preserve">à l’aide du </w:t>
      </w:r>
      <w:r>
        <w:t xml:space="preserve">tableau de support suivant : </w:t>
      </w:r>
    </w:p>
    <w:tbl>
      <w:tblPr>
        <w:tblW w:w="4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2"/>
        <w:gridCol w:w="775"/>
        <w:gridCol w:w="775"/>
        <w:gridCol w:w="775"/>
        <w:gridCol w:w="775"/>
      </w:tblGrid>
      <w:tr w:rsidR="00875714" w:rsidRPr="00875714" w:rsidTr="00875714">
        <w:trPr>
          <w:trHeight w:val="506"/>
          <w:jc w:val="center"/>
        </w:trPr>
        <w:tc>
          <w:tcPr>
            <w:tcW w:w="1432" w:type="dxa"/>
            <w:shd w:val="clear" w:color="auto" w:fill="auto"/>
            <w:tcMar>
              <w:top w:w="8" w:type="dxa"/>
              <w:left w:w="8" w:type="dxa"/>
              <w:bottom w:w="0" w:type="dxa"/>
              <w:right w:w="8" w:type="dxa"/>
            </w:tcMar>
            <w:vAlign w:val="center"/>
            <w:hideMark/>
          </w:tcPr>
          <w:p w:rsidR="00875714" w:rsidRPr="00875714" w:rsidRDefault="00875714">
            <w:pPr>
              <w:jc w:val="center"/>
              <w:rPr>
                <w:rFonts w:ascii="Calibri" w:hAnsi="Calibri"/>
                <w:color w:val="000000"/>
                <w:sz w:val="16"/>
                <w:szCs w:val="16"/>
              </w:rPr>
            </w:pPr>
          </w:p>
        </w:tc>
        <w:tc>
          <w:tcPr>
            <w:tcW w:w="775" w:type="dxa"/>
            <w:shd w:val="clear" w:color="auto" w:fill="auto"/>
            <w:tcMar>
              <w:top w:w="8" w:type="dxa"/>
              <w:left w:w="8" w:type="dxa"/>
              <w:bottom w:w="0" w:type="dxa"/>
              <w:right w:w="8" w:type="dxa"/>
            </w:tcMar>
            <w:vAlign w:val="center"/>
            <w:hideMark/>
          </w:tcPr>
          <w:p w:rsidR="00875714" w:rsidRPr="00875714" w:rsidRDefault="00875714">
            <w:pPr>
              <w:jc w:val="center"/>
              <w:rPr>
                <w:rFonts w:ascii="Calibri" w:hAnsi="Calibri"/>
                <w:b/>
                <w:bCs/>
                <w:color w:val="000000"/>
                <w:sz w:val="16"/>
                <w:szCs w:val="16"/>
              </w:rPr>
            </w:pPr>
            <w:r w:rsidRPr="00875714">
              <w:rPr>
                <w:rFonts w:ascii="Calibri" w:hAnsi="Calibri"/>
                <w:b/>
                <w:bCs/>
                <w:color w:val="000000"/>
                <w:sz w:val="16"/>
                <w:szCs w:val="16"/>
              </w:rPr>
              <w:t>Beurre</w:t>
            </w:r>
          </w:p>
        </w:tc>
        <w:tc>
          <w:tcPr>
            <w:tcW w:w="775" w:type="dxa"/>
            <w:shd w:val="clear" w:color="auto" w:fill="auto"/>
            <w:tcMar>
              <w:top w:w="8" w:type="dxa"/>
              <w:left w:w="8" w:type="dxa"/>
              <w:bottom w:w="0" w:type="dxa"/>
              <w:right w:w="8" w:type="dxa"/>
            </w:tcMar>
            <w:vAlign w:val="center"/>
            <w:hideMark/>
          </w:tcPr>
          <w:p w:rsidR="00875714" w:rsidRPr="00875714" w:rsidRDefault="00875714">
            <w:pPr>
              <w:jc w:val="center"/>
              <w:rPr>
                <w:rFonts w:ascii="Calibri" w:hAnsi="Calibri"/>
                <w:b/>
                <w:bCs/>
                <w:color w:val="000000"/>
                <w:sz w:val="16"/>
                <w:szCs w:val="16"/>
              </w:rPr>
            </w:pPr>
            <w:r w:rsidRPr="00875714">
              <w:rPr>
                <w:rFonts w:ascii="Calibri" w:hAnsi="Calibri"/>
                <w:b/>
                <w:bCs/>
                <w:color w:val="000000"/>
                <w:sz w:val="16"/>
                <w:szCs w:val="16"/>
              </w:rPr>
              <w:t>Vin</w:t>
            </w:r>
          </w:p>
        </w:tc>
        <w:tc>
          <w:tcPr>
            <w:tcW w:w="775" w:type="dxa"/>
            <w:shd w:val="clear" w:color="auto" w:fill="auto"/>
            <w:tcMar>
              <w:top w:w="8" w:type="dxa"/>
              <w:left w:w="8" w:type="dxa"/>
              <w:bottom w:w="0" w:type="dxa"/>
              <w:right w:w="8" w:type="dxa"/>
            </w:tcMar>
            <w:vAlign w:val="center"/>
            <w:hideMark/>
          </w:tcPr>
          <w:p w:rsidR="00875714" w:rsidRPr="00875714" w:rsidRDefault="00875714">
            <w:pPr>
              <w:jc w:val="center"/>
              <w:rPr>
                <w:rFonts w:ascii="Calibri" w:hAnsi="Calibri"/>
                <w:b/>
                <w:bCs/>
                <w:color w:val="000000"/>
                <w:sz w:val="16"/>
                <w:szCs w:val="16"/>
              </w:rPr>
            </w:pPr>
            <w:r w:rsidRPr="00875714">
              <w:rPr>
                <w:rFonts w:ascii="Calibri" w:hAnsi="Calibri"/>
                <w:b/>
                <w:bCs/>
                <w:color w:val="000000"/>
                <w:sz w:val="16"/>
                <w:szCs w:val="16"/>
              </w:rPr>
              <w:t>Fromage</w:t>
            </w:r>
          </w:p>
        </w:tc>
        <w:tc>
          <w:tcPr>
            <w:tcW w:w="775" w:type="dxa"/>
            <w:shd w:val="clear" w:color="auto" w:fill="auto"/>
            <w:tcMar>
              <w:top w:w="8" w:type="dxa"/>
              <w:left w:w="8" w:type="dxa"/>
              <w:bottom w:w="0" w:type="dxa"/>
              <w:right w:w="8" w:type="dxa"/>
            </w:tcMar>
            <w:vAlign w:val="center"/>
            <w:hideMark/>
          </w:tcPr>
          <w:p w:rsidR="00875714" w:rsidRPr="00875714" w:rsidRDefault="00875714">
            <w:pPr>
              <w:jc w:val="center"/>
              <w:rPr>
                <w:rFonts w:ascii="Calibri" w:hAnsi="Calibri"/>
                <w:b/>
                <w:bCs/>
                <w:color w:val="000000"/>
                <w:sz w:val="16"/>
                <w:szCs w:val="16"/>
              </w:rPr>
            </w:pPr>
            <w:r w:rsidRPr="00875714">
              <w:rPr>
                <w:rFonts w:ascii="Calibri" w:hAnsi="Calibri"/>
                <w:b/>
                <w:bCs/>
                <w:color w:val="000000"/>
                <w:sz w:val="16"/>
                <w:szCs w:val="16"/>
              </w:rPr>
              <w:t>Pain</w:t>
            </w:r>
          </w:p>
        </w:tc>
      </w:tr>
      <w:tr w:rsidR="00875714" w:rsidRPr="00875714" w:rsidTr="00875714">
        <w:trPr>
          <w:trHeight w:val="253"/>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b/>
                <w:bCs/>
                <w:color w:val="000000"/>
                <w:sz w:val="16"/>
                <w:szCs w:val="16"/>
              </w:rPr>
            </w:pPr>
            <w:r w:rsidRPr="00875714">
              <w:rPr>
                <w:rFonts w:ascii="Calibri" w:hAnsi="Calibri"/>
                <w:b/>
                <w:bCs/>
                <w:color w:val="000000"/>
                <w:sz w:val="16"/>
                <w:szCs w:val="16"/>
              </w:rPr>
              <w:t>Beurre</w:t>
            </w:r>
          </w:p>
        </w:tc>
        <w:tc>
          <w:tcPr>
            <w:tcW w:w="0" w:type="auto"/>
            <w:shd w:val="clear" w:color="000000" w:fill="F2DDDC"/>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30.00%</w:t>
            </w: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p>
        </w:tc>
      </w:tr>
      <w:tr w:rsidR="00875714" w:rsidRPr="00875714" w:rsidTr="00875714">
        <w:trPr>
          <w:trHeight w:val="253"/>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b/>
                <w:bCs/>
                <w:color w:val="000000"/>
                <w:sz w:val="16"/>
                <w:szCs w:val="16"/>
              </w:rPr>
            </w:pPr>
            <w:r w:rsidRPr="00875714">
              <w:rPr>
                <w:rFonts w:ascii="Calibri" w:hAnsi="Calibri"/>
                <w:b/>
                <w:bCs/>
                <w:color w:val="000000"/>
                <w:sz w:val="16"/>
                <w:szCs w:val="16"/>
              </w:rPr>
              <w:t>Vin</w:t>
            </w: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0.00%</w:t>
            </w:r>
          </w:p>
        </w:tc>
        <w:tc>
          <w:tcPr>
            <w:tcW w:w="0" w:type="auto"/>
            <w:shd w:val="clear" w:color="000000" w:fill="F2DDDC"/>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25.00%</w:t>
            </w: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p>
        </w:tc>
      </w:tr>
      <w:tr w:rsidR="00875714" w:rsidRPr="00875714" w:rsidTr="00875714">
        <w:trPr>
          <w:trHeight w:val="253"/>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b/>
                <w:bCs/>
                <w:color w:val="000000"/>
                <w:sz w:val="16"/>
                <w:szCs w:val="16"/>
              </w:rPr>
            </w:pPr>
            <w:r w:rsidRPr="00875714">
              <w:rPr>
                <w:rFonts w:ascii="Calibri" w:hAnsi="Calibri"/>
                <w:b/>
                <w:bCs/>
                <w:color w:val="000000"/>
                <w:sz w:val="16"/>
                <w:szCs w:val="16"/>
              </w:rPr>
              <w:t>Fromage</w:t>
            </w:r>
          </w:p>
        </w:tc>
        <w:tc>
          <w:tcPr>
            <w:tcW w:w="0" w:type="auto"/>
            <w:shd w:val="clear" w:color="000000" w:fill="FCD5B4"/>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5.00%</w:t>
            </w:r>
          </w:p>
        </w:tc>
        <w:tc>
          <w:tcPr>
            <w:tcW w:w="0" w:type="auto"/>
            <w:shd w:val="clear" w:color="000000" w:fill="FCD5B4"/>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15.00%</w:t>
            </w:r>
          </w:p>
        </w:tc>
        <w:tc>
          <w:tcPr>
            <w:tcW w:w="0" w:type="auto"/>
            <w:shd w:val="clear" w:color="000000" w:fill="66FF66"/>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65.00%</w:t>
            </w:r>
          </w:p>
        </w:tc>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p>
        </w:tc>
      </w:tr>
      <w:tr w:rsidR="00875714" w:rsidRPr="00875714" w:rsidTr="00875714">
        <w:trPr>
          <w:trHeight w:val="253"/>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pPr>
              <w:rPr>
                <w:rFonts w:ascii="Calibri" w:hAnsi="Calibri"/>
                <w:b/>
                <w:bCs/>
                <w:color w:val="000000"/>
                <w:sz w:val="16"/>
                <w:szCs w:val="16"/>
              </w:rPr>
            </w:pPr>
            <w:r w:rsidRPr="00875714">
              <w:rPr>
                <w:rFonts w:ascii="Calibri" w:hAnsi="Calibri"/>
                <w:b/>
                <w:bCs/>
                <w:color w:val="000000"/>
                <w:sz w:val="16"/>
                <w:szCs w:val="16"/>
              </w:rPr>
              <w:t>Pain</w:t>
            </w:r>
          </w:p>
        </w:tc>
        <w:tc>
          <w:tcPr>
            <w:tcW w:w="0" w:type="auto"/>
            <w:shd w:val="clear" w:color="000000" w:fill="F2DDDC"/>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30.00%</w:t>
            </w:r>
          </w:p>
        </w:tc>
        <w:tc>
          <w:tcPr>
            <w:tcW w:w="0" w:type="auto"/>
            <w:shd w:val="clear" w:color="000000" w:fill="FCD5B4"/>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15.00%</w:t>
            </w:r>
          </w:p>
        </w:tc>
        <w:tc>
          <w:tcPr>
            <w:tcW w:w="0" w:type="auto"/>
            <w:shd w:val="clear" w:color="000000" w:fill="66FF66"/>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50.00%</w:t>
            </w:r>
          </w:p>
        </w:tc>
        <w:tc>
          <w:tcPr>
            <w:tcW w:w="0" w:type="auto"/>
            <w:shd w:val="clear" w:color="000000" w:fill="33CC33"/>
            <w:noWrap/>
            <w:tcMar>
              <w:top w:w="8" w:type="dxa"/>
              <w:left w:w="8" w:type="dxa"/>
              <w:bottom w:w="0" w:type="dxa"/>
              <w:right w:w="8" w:type="dxa"/>
            </w:tcMar>
            <w:vAlign w:val="bottom"/>
            <w:hideMark/>
          </w:tcPr>
          <w:p w:rsidR="00875714" w:rsidRPr="00875714" w:rsidRDefault="00875714">
            <w:pPr>
              <w:rPr>
                <w:rFonts w:ascii="Calibri" w:hAnsi="Calibri"/>
                <w:color w:val="000000"/>
                <w:sz w:val="16"/>
                <w:szCs w:val="16"/>
              </w:rPr>
            </w:pPr>
            <w:r w:rsidRPr="00875714">
              <w:rPr>
                <w:rFonts w:ascii="Calibri" w:hAnsi="Calibri"/>
                <w:color w:val="000000"/>
                <w:sz w:val="16"/>
                <w:szCs w:val="16"/>
              </w:rPr>
              <w:t>80.00%</w:t>
            </w:r>
          </w:p>
        </w:tc>
      </w:tr>
    </w:tbl>
    <w:p w:rsidR="00875714" w:rsidRDefault="00875714" w:rsidP="00875714">
      <w:pPr>
        <w:pStyle w:val="Paragraphedeliste"/>
      </w:pPr>
    </w:p>
    <w:p w:rsidR="00A94598" w:rsidRDefault="00037476" w:rsidP="00037476">
      <w:pPr>
        <w:pStyle w:val="Paragraphedeliste"/>
        <w:numPr>
          <w:ilvl w:val="0"/>
          <w:numId w:val="4"/>
        </w:numPr>
      </w:pPr>
      <w:r>
        <w:t>Quel item est le plus populaire?</w:t>
      </w:r>
    </w:p>
    <w:p w:rsidR="00037476" w:rsidRDefault="00037476" w:rsidP="00037476">
      <w:pPr>
        <w:pStyle w:val="Paragraphedeliste"/>
        <w:numPr>
          <w:ilvl w:val="0"/>
          <w:numId w:val="4"/>
        </w:numPr>
      </w:pPr>
      <w:r>
        <w:t>Construisez le tableau de la confiance</w:t>
      </w:r>
    </w:p>
    <w:p w:rsidR="00037476" w:rsidRDefault="00037476" w:rsidP="00037476">
      <w:pPr>
        <w:pStyle w:val="Paragraphedeliste"/>
        <w:numPr>
          <w:ilvl w:val="0"/>
          <w:numId w:val="4"/>
        </w:numPr>
      </w:pPr>
      <w:r>
        <w:t>Quelle est la règle ayant la confiance la plus élevée?  Interprétez sa valeur.</w:t>
      </w:r>
    </w:p>
    <w:p w:rsidR="00037476" w:rsidRDefault="00037476" w:rsidP="00037476">
      <w:pPr>
        <w:pStyle w:val="Paragraphedeliste"/>
        <w:numPr>
          <w:ilvl w:val="0"/>
          <w:numId w:val="4"/>
        </w:numPr>
      </w:pPr>
      <w:r>
        <w:t>Construisez le tableau du lift</w:t>
      </w:r>
    </w:p>
    <w:p w:rsidR="00037476" w:rsidRDefault="00037476" w:rsidP="00037476">
      <w:pPr>
        <w:pStyle w:val="Paragraphedeliste"/>
        <w:numPr>
          <w:ilvl w:val="0"/>
          <w:numId w:val="4"/>
        </w:numPr>
      </w:pPr>
      <w:r>
        <w:t xml:space="preserve">Quel est le meilleur lift obtenu? Interprétez sa valeur. </w:t>
      </w:r>
    </w:p>
    <w:p w:rsidR="00F271E7" w:rsidRDefault="00F271E7" w:rsidP="00037476">
      <w:pPr>
        <w:pStyle w:val="Paragraphedeliste"/>
        <w:numPr>
          <w:ilvl w:val="0"/>
          <w:numId w:val="4"/>
        </w:numPr>
      </w:pPr>
      <w:r>
        <w:t>Quel est le pire lift obtenu?  Interprétez sa valeur.</w:t>
      </w:r>
    </w:p>
    <w:p w:rsidR="00F271E7" w:rsidRDefault="00F271E7" w:rsidP="00037476">
      <w:pPr>
        <w:pStyle w:val="Paragraphedeliste"/>
        <w:numPr>
          <w:ilvl w:val="0"/>
          <w:numId w:val="4"/>
        </w:numPr>
      </w:pPr>
      <w:r>
        <w:t>Quels sont les deux items qui semblent être</w:t>
      </w:r>
      <w:r w:rsidR="00F81AF5">
        <w:t xml:space="preserve"> les plus indépendants l’un de l’autre</w:t>
      </w:r>
      <w:r>
        <w:t xml:space="preserve">?  </w:t>
      </w:r>
    </w:p>
    <w:p w:rsidR="007273E7" w:rsidRDefault="007273E7"/>
    <w:p w:rsidR="007273E7" w:rsidRDefault="00C428C8" w:rsidP="00C428C8">
      <w:pPr>
        <w:pStyle w:val="Titre2"/>
      </w:pPr>
      <w:r>
        <w:t>Exercice 2</w:t>
      </w:r>
    </w:p>
    <w:p w:rsidR="005F0833" w:rsidRDefault="005F0833" w:rsidP="007273E7">
      <w:r>
        <w:t xml:space="preserve">Reprendre la base de données du cas Boulangerie (fichier </w:t>
      </w:r>
      <w:r w:rsidR="001C6600">
        <w:t>30-650</w:t>
      </w:r>
      <w:r w:rsidR="00A12CA6">
        <w:t>-</w:t>
      </w:r>
      <w:bookmarkStart w:id="0" w:name="_GoBack"/>
      <w:bookmarkEnd w:id="0"/>
      <w:r w:rsidRPr="005F0833">
        <w:t>boulangerie-DATA.xlsx</w:t>
      </w:r>
      <w:r>
        <w:t>) et répondre aux questions suivantes.</w:t>
      </w:r>
    </w:p>
    <w:p w:rsidR="005F0833" w:rsidRDefault="005F0833" w:rsidP="005F0833">
      <w:pPr>
        <w:pStyle w:val="Paragraphedeliste"/>
        <w:numPr>
          <w:ilvl w:val="0"/>
          <w:numId w:val="6"/>
        </w:numPr>
      </w:pPr>
      <w:r>
        <w:t>Pour la paire d’items (tarte au citron, gâteau au citron), construisez le tableau croisé dynamique et calculez ensuite les supports individuels, le support conjoint, les confiances et le lift.  Interprétez ensuite les valeurs.</w:t>
      </w:r>
    </w:p>
    <w:p w:rsidR="005F0833" w:rsidRDefault="005F0833" w:rsidP="005F0833">
      <w:r>
        <w:t xml:space="preserve">À l’aide du gabarit « Association », calculez les supports, confiances et lifts pour toutes les règles à deux items et répondre aux questions suivantes : </w:t>
      </w:r>
    </w:p>
    <w:p w:rsidR="00E7446D" w:rsidRDefault="00E7446D" w:rsidP="005F0833">
      <w:pPr>
        <w:pStyle w:val="Paragraphedeliste"/>
        <w:numPr>
          <w:ilvl w:val="0"/>
          <w:numId w:val="6"/>
        </w:numPr>
      </w:pPr>
      <w:r>
        <w:t>À l’aide des indicateurs numériques, analysez les deux règles associées à la paire d’items (croissant au fromage, croissant aux amandes). Que pouvez-vous conclure quant à l’association entre ces deux items?</w:t>
      </w:r>
    </w:p>
    <w:p w:rsidR="00E7446D" w:rsidRDefault="00E7446D" w:rsidP="00E7446D">
      <w:pPr>
        <w:pStyle w:val="Paragraphedeliste"/>
        <w:numPr>
          <w:ilvl w:val="0"/>
          <w:numId w:val="6"/>
        </w:numPr>
      </w:pPr>
      <w:r>
        <w:t xml:space="preserve"> À l’aide des indicateurs numériques, analysez les deux règles associées à la paire d’items (</w:t>
      </w:r>
      <w:r w:rsidR="002520D1">
        <w:t>café, thé vert</w:t>
      </w:r>
      <w:r>
        <w:t>). Que pouvez-vous conclure quant à l’association entre ces deux items?</w:t>
      </w:r>
    </w:p>
    <w:p w:rsidR="004947EE" w:rsidRDefault="00E7446D" w:rsidP="005F0833">
      <w:pPr>
        <w:pStyle w:val="Paragraphedeliste"/>
        <w:numPr>
          <w:ilvl w:val="0"/>
          <w:numId w:val="6"/>
        </w:numPr>
      </w:pPr>
      <w:r>
        <w:lastRenderedPageBreak/>
        <w:t xml:space="preserve">Si un client a déjà choisi un capuccino, quel item devriez-vous lui suggérer?  Quelle est alors la probabilité qu’il achète cet item proposé?  Quelle aurait été la probabilité qu’il achète ce second item sans savoir qu’il achetait </w:t>
      </w:r>
      <w:r w:rsidR="002520D1">
        <w:t xml:space="preserve">au préalable </w:t>
      </w:r>
      <w:r>
        <w:t xml:space="preserve">un capuccino?  </w:t>
      </w:r>
    </w:p>
    <w:p w:rsidR="005F0833" w:rsidRPr="005F0833" w:rsidRDefault="004947EE" w:rsidP="004947EE">
      <w:r>
        <w:br w:type="page"/>
      </w:r>
    </w:p>
    <w:p w:rsidR="00A94598" w:rsidRPr="00875714" w:rsidRDefault="00875714" w:rsidP="00875714">
      <w:pPr>
        <w:pStyle w:val="Paragraphedeliste"/>
        <w:jc w:val="center"/>
        <w:rPr>
          <w:b/>
          <w:sz w:val="28"/>
          <w:szCs w:val="28"/>
        </w:rPr>
      </w:pPr>
      <w:r w:rsidRPr="00875714">
        <w:rPr>
          <w:b/>
          <w:sz w:val="28"/>
          <w:szCs w:val="28"/>
        </w:rPr>
        <w:lastRenderedPageBreak/>
        <w:t>Solutions</w:t>
      </w:r>
    </w:p>
    <w:p w:rsidR="00875714" w:rsidRDefault="00875714" w:rsidP="00A94598">
      <w:pPr>
        <w:pStyle w:val="Paragraphedeliste"/>
      </w:pPr>
    </w:p>
    <w:p w:rsidR="00037476" w:rsidRPr="007273E7" w:rsidRDefault="009E6BD8" w:rsidP="009E6BD8">
      <w:pPr>
        <w:pStyle w:val="Titre2"/>
      </w:pPr>
      <w:r>
        <w:t>Exercice</w:t>
      </w:r>
      <w:r w:rsidR="007273E7" w:rsidRPr="007273E7">
        <w:t xml:space="preserve"> 1</w:t>
      </w:r>
    </w:p>
    <w:p w:rsidR="00037476" w:rsidRPr="00037476" w:rsidRDefault="00037476" w:rsidP="00037476">
      <w:pPr>
        <w:pStyle w:val="Paragraphedeliste"/>
        <w:numPr>
          <w:ilvl w:val="0"/>
          <w:numId w:val="5"/>
        </w:numPr>
      </w:pPr>
      <w:r>
        <w:t xml:space="preserve">On regarde l’item ayant le support individuel  le plus élevé. C’est donc le pain </w:t>
      </w:r>
      <w:r w:rsidR="009C1587">
        <w:t xml:space="preserve">dont </w:t>
      </w:r>
      <w:r>
        <w:t xml:space="preserve"> la probabilité </w:t>
      </w:r>
      <w:r w:rsidR="009C1587">
        <w:t xml:space="preserve">d’achat </w:t>
      </w:r>
      <w:r>
        <w:t xml:space="preserve">est estimée à 80% selon ces données. </w:t>
      </w:r>
      <w:r w:rsidRPr="00037476">
        <w:t xml:space="preserve"> </w:t>
      </w:r>
    </w:p>
    <w:p w:rsidR="00037476" w:rsidRDefault="00037476" w:rsidP="00037476">
      <w:pPr>
        <w:pStyle w:val="Paragraphedeliste"/>
        <w:numPr>
          <w:ilvl w:val="0"/>
          <w:numId w:val="5"/>
        </w:numPr>
      </w:pPr>
      <w:r w:rsidRPr="00037476">
        <w:t>La confiance s’obtient en prenant le ratio du support de la règle sur le support de l’</w:t>
      </w:r>
      <w:r w:rsidR="000854B7">
        <w:t xml:space="preserve">antécédent, i.e., </w:t>
      </w:r>
      <w:r w:rsidRPr="00037476">
        <w:t xml:space="preserve"> </w:t>
      </w:r>
    </w:p>
    <w:p w:rsidR="00037476" w:rsidRPr="00037476" w:rsidRDefault="00037476" w:rsidP="00037476">
      <w:pPr>
        <w:pStyle w:val="Paragraphedeliste"/>
        <w:ind w:left="1080"/>
      </w:pPr>
      <w:r w:rsidRPr="00037476">
        <w:rPr>
          <w:b/>
          <w:bCs/>
        </w:rPr>
        <w:t xml:space="preserve">Confiance (X =&gt; Y) </w:t>
      </w:r>
      <w:r w:rsidRPr="00037476">
        <w:t xml:space="preserve">=  </w:t>
      </w:r>
      <m:oMath>
        <m:f>
          <m:fPr>
            <m:ctrlPr>
              <w:rPr>
                <w:rFonts w:ascii="Cambria Math" w:hAnsi="Cambria Math"/>
                <w:i/>
                <w:iCs/>
              </w:rPr>
            </m:ctrlPr>
          </m:fPr>
          <m:num>
            <m:r>
              <m:rPr>
                <m:sty m:val="p"/>
              </m:rPr>
              <w:rPr>
                <w:rFonts w:ascii="Cambria Math" w:hAnsi="Cambria Math"/>
              </w:rPr>
              <m:t>support(X⟹Y)</m:t>
            </m:r>
          </m:num>
          <m:den>
            <m:r>
              <m:rPr>
                <m:sty m:val="p"/>
              </m:rPr>
              <w:rPr>
                <w:rFonts w:ascii="Cambria Math" w:hAnsi="Cambria Math"/>
              </w:rPr>
              <m:t>support (X)</m:t>
            </m:r>
          </m:den>
        </m:f>
      </m:oMath>
    </w:p>
    <w:p w:rsidR="000854B7" w:rsidRDefault="000854B7" w:rsidP="00037476">
      <w:pPr>
        <w:pStyle w:val="Paragraphedeliste"/>
        <w:ind w:left="1080"/>
        <w:rPr>
          <w:b/>
        </w:rPr>
      </w:pPr>
    </w:p>
    <w:p w:rsidR="00875714" w:rsidRPr="000854B7" w:rsidRDefault="000854B7" w:rsidP="00037476">
      <w:pPr>
        <w:pStyle w:val="Paragraphedeliste"/>
        <w:ind w:left="1080"/>
      </w:pPr>
      <w:r w:rsidRPr="000854B7">
        <w:t>On obtient donc le tableau de c</w:t>
      </w:r>
      <w:r w:rsidR="00875714" w:rsidRPr="000854B7">
        <w:t>onfiance</w:t>
      </w:r>
      <w:r w:rsidRPr="000854B7">
        <w:t xml:space="preserve"> suivant :</w:t>
      </w:r>
    </w:p>
    <w:tbl>
      <w:tblPr>
        <w:tblW w:w="4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48"/>
        <w:gridCol w:w="838"/>
        <w:gridCol w:w="838"/>
        <w:gridCol w:w="838"/>
        <w:gridCol w:w="838"/>
      </w:tblGrid>
      <w:tr w:rsidR="00875714" w:rsidTr="00875714">
        <w:trPr>
          <w:trHeight w:val="437"/>
          <w:jc w:val="center"/>
        </w:trPr>
        <w:tc>
          <w:tcPr>
            <w:tcW w:w="1548" w:type="dxa"/>
            <w:shd w:val="clear" w:color="auto" w:fill="auto"/>
            <w:tcMar>
              <w:top w:w="8" w:type="dxa"/>
              <w:left w:w="8" w:type="dxa"/>
              <w:bottom w:w="0" w:type="dxa"/>
              <w:right w:w="8" w:type="dxa"/>
            </w:tcMar>
            <w:vAlign w:val="center"/>
            <w:hideMark/>
          </w:tcPr>
          <w:p w:rsidR="00875714" w:rsidRPr="00875714" w:rsidRDefault="00875714" w:rsidP="00875714">
            <w:pPr>
              <w:jc w:val="center"/>
              <w:rPr>
                <w:rFonts w:ascii="Calibri" w:hAnsi="Calibri"/>
                <w:color w:val="000000"/>
                <w:sz w:val="16"/>
                <w:szCs w:val="16"/>
              </w:rPr>
            </w:pPr>
          </w:p>
        </w:tc>
        <w:tc>
          <w:tcPr>
            <w:tcW w:w="838" w:type="dxa"/>
            <w:shd w:val="clear" w:color="auto" w:fill="auto"/>
            <w:tcMar>
              <w:top w:w="8" w:type="dxa"/>
              <w:left w:w="8" w:type="dxa"/>
              <w:bottom w:w="0" w:type="dxa"/>
              <w:right w:w="8" w:type="dxa"/>
            </w:tcMar>
            <w:vAlign w:val="center"/>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Beurre</w:t>
            </w:r>
          </w:p>
        </w:tc>
        <w:tc>
          <w:tcPr>
            <w:tcW w:w="838" w:type="dxa"/>
            <w:shd w:val="clear" w:color="auto" w:fill="auto"/>
            <w:tcMar>
              <w:top w:w="8" w:type="dxa"/>
              <w:left w:w="8" w:type="dxa"/>
              <w:bottom w:w="0" w:type="dxa"/>
              <w:right w:w="8" w:type="dxa"/>
            </w:tcMar>
            <w:vAlign w:val="center"/>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Vin</w:t>
            </w:r>
          </w:p>
        </w:tc>
        <w:tc>
          <w:tcPr>
            <w:tcW w:w="838" w:type="dxa"/>
            <w:shd w:val="clear" w:color="auto" w:fill="auto"/>
            <w:tcMar>
              <w:top w:w="8" w:type="dxa"/>
              <w:left w:w="8" w:type="dxa"/>
              <w:bottom w:w="0" w:type="dxa"/>
              <w:right w:w="8" w:type="dxa"/>
            </w:tcMar>
            <w:vAlign w:val="center"/>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Fromage</w:t>
            </w:r>
          </w:p>
        </w:tc>
        <w:tc>
          <w:tcPr>
            <w:tcW w:w="838" w:type="dxa"/>
            <w:shd w:val="clear" w:color="auto" w:fill="auto"/>
            <w:tcMar>
              <w:top w:w="8" w:type="dxa"/>
              <w:left w:w="8" w:type="dxa"/>
              <w:bottom w:w="0" w:type="dxa"/>
              <w:right w:w="8" w:type="dxa"/>
            </w:tcMar>
            <w:vAlign w:val="center"/>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Pain</w:t>
            </w:r>
          </w:p>
        </w:tc>
      </w:tr>
      <w:tr w:rsidR="00875714" w:rsidTr="00875714">
        <w:trPr>
          <w:trHeight w:val="218"/>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Beurre</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0.00%</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16.67%</w:t>
            </w:r>
          </w:p>
        </w:tc>
        <w:tc>
          <w:tcPr>
            <w:tcW w:w="0" w:type="auto"/>
            <w:shd w:val="clear" w:color="000000" w:fill="33CC33"/>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100.00%</w:t>
            </w:r>
          </w:p>
        </w:tc>
      </w:tr>
      <w:tr w:rsidR="00875714" w:rsidTr="00875714">
        <w:trPr>
          <w:trHeight w:val="218"/>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Vin</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0.00%</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p>
        </w:tc>
        <w:tc>
          <w:tcPr>
            <w:tcW w:w="0" w:type="auto"/>
            <w:shd w:val="clear" w:color="000000" w:fill="FCD5B4"/>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60.00%</w:t>
            </w:r>
          </w:p>
        </w:tc>
        <w:tc>
          <w:tcPr>
            <w:tcW w:w="0" w:type="auto"/>
            <w:shd w:val="clear" w:color="000000" w:fill="FCD5B4"/>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60.00%</w:t>
            </w:r>
          </w:p>
        </w:tc>
      </w:tr>
      <w:tr w:rsidR="00875714" w:rsidTr="00875714">
        <w:trPr>
          <w:trHeight w:val="218"/>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Fromage</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7.69%</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23.08%</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p>
        </w:tc>
        <w:tc>
          <w:tcPr>
            <w:tcW w:w="0" w:type="auto"/>
            <w:shd w:val="clear" w:color="000000" w:fill="F2DDDC"/>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76.92%</w:t>
            </w:r>
          </w:p>
        </w:tc>
      </w:tr>
      <w:tr w:rsidR="00875714" w:rsidTr="00875714">
        <w:trPr>
          <w:trHeight w:val="218"/>
          <w:jc w:val="center"/>
        </w:trPr>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b/>
                <w:bCs/>
                <w:color w:val="000000"/>
                <w:sz w:val="16"/>
                <w:szCs w:val="16"/>
              </w:rPr>
            </w:pPr>
            <w:r w:rsidRPr="00875714">
              <w:rPr>
                <w:rFonts w:ascii="Calibri" w:hAnsi="Calibri"/>
                <w:b/>
                <w:bCs/>
                <w:color w:val="000000"/>
                <w:sz w:val="16"/>
                <w:szCs w:val="16"/>
              </w:rPr>
              <w:t>Pain</w:t>
            </w:r>
          </w:p>
        </w:tc>
        <w:tc>
          <w:tcPr>
            <w:tcW w:w="0" w:type="auto"/>
            <w:shd w:val="clear" w:color="000000" w:fill="FDE9D9"/>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37.50%</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18.75%</w:t>
            </w:r>
          </w:p>
        </w:tc>
        <w:tc>
          <w:tcPr>
            <w:tcW w:w="0" w:type="auto"/>
            <w:shd w:val="clear" w:color="000000" w:fill="FCD5B4"/>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r w:rsidRPr="00875714">
              <w:rPr>
                <w:rFonts w:ascii="Calibri" w:hAnsi="Calibri"/>
                <w:color w:val="000000"/>
                <w:sz w:val="16"/>
                <w:szCs w:val="16"/>
              </w:rPr>
              <w:t>62.50%</w:t>
            </w:r>
          </w:p>
        </w:tc>
        <w:tc>
          <w:tcPr>
            <w:tcW w:w="0" w:type="auto"/>
            <w:shd w:val="clear" w:color="auto" w:fill="auto"/>
            <w:noWrap/>
            <w:tcMar>
              <w:top w:w="8" w:type="dxa"/>
              <w:left w:w="8" w:type="dxa"/>
              <w:bottom w:w="0" w:type="dxa"/>
              <w:right w:w="8" w:type="dxa"/>
            </w:tcMar>
            <w:vAlign w:val="bottom"/>
            <w:hideMark/>
          </w:tcPr>
          <w:p w:rsidR="00875714" w:rsidRPr="00875714" w:rsidRDefault="00875714" w:rsidP="00875714">
            <w:pPr>
              <w:jc w:val="center"/>
              <w:rPr>
                <w:rFonts w:ascii="Calibri" w:hAnsi="Calibri"/>
                <w:color w:val="000000"/>
                <w:sz w:val="16"/>
                <w:szCs w:val="16"/>
              </w:rPr>
            </w:pPr>
          </w:p>
        </w:tc>
      </w:tr>
    </w:tbl>
    <w:p w:rsidR="00875714" w:rsidRDefault="00875714" w:rsidP="00A94598">
      <w:pPr>
        <w:pStyle w:val="Paragraphedeliste"/>
      </w:pPr>
    </w:p>
    <w:p w:rsidR="000854B7" w:rsidRDefault="000854B7" w:rsidP="000854B7">
      <w:pPr>
        <w:pStyle w:val="Paragraphedeliste"/>
        <w:numPr>
          <w:ilvl w:val="0"/>
          <w:numId w:val="5"/>
        </w:numPr>
      </w:pPr>
      <w:r>
        <w:t>La confiance maximale est atteinte pour la règle (Beurre = &gt; Pain)</w:t>
      </w:r>
      <w:r w:rsidR="00F271E7">
        <w:t xml:space="preserve"> qui est de</w:t>
      </w:r>
      <w:r>
        <w:t xml:space="preserve"> 100%.  Il s’agit d’une estimation de la probabilité d’acheter du pain sachant que du beurre </w:t>
      </w:r>
      <w:r w:rsidR="00F271E7">
        <w:t xml:space="preserve">est </w:t>
      </w:r>
      <w:r w:rsidR="009C1587">
        <w:t>acheté</w:t>
      </w:r>
      <w:r>
        <w:t xml:space="preserve">.  Ainsi, le client achètera nécessairement du pain s’il achète au préalable du beurre. </w:t>
      </w:r>
    </w:p>
    <w:p w:rsidR="000854B7" w:rsidRDefault="000854B7" w:rsidP="000854B7">
      <w:pPr>
        <w:pStyle w:val="Paragraphedeliste"/>
        <w:numPr>
          <w:ilvl w:val="0"/>
          <w:numId w:val="5"/>
        </w:numPr>
      </w:pPr>
      <w:r>
        <w:t xml:space="preserve">Le lift s’obtient en prenant le ratio de la confiance de la règle sur le support du conséquent.  </w:t>
      </w:r>
    </w:p>
    <w:p w:rsidR="000854B7" w:rsidRDefault="000854B7" w:rsidP="000854B7">
      <w:pPr>
        <w:pStyle w:val="Paragraphedeliste"/>
        <w:ind w:left="1080"/>
      </w:pPr>
      <w:r w:rsidRPr="000854B7">
        <w:t xml:space="preserve">lift (X =&gt; Y) = </w:t>
      </w:r>
      <m:oMath>
        <m:f>
          <m:fPr>
            <m:ctrlPr>
              <w:rPr>
                <w:rFonts w:ascii="Cambria Math" w:hAnsi="Cambria Math"/>
                <w:i/>
                <w:iCs/>
              </w:rPr>
            </m:ctrlPr>
          </m:fPr>
          <m:num>
            <m:r>
              <m:rPr>
                <m:sty m:val="p"/>
              </m:rPr>
              <w:rPr>
                <w:rFonts w:ascii="Cambria Math" w:hAnsi="Cambria Math"/>
              </w:rPr>
              <m:t>confiance (X⟹Y)</m:t>
            </m:r>
          </m:num>
          <m:den>
            <m:r>
              <m:rPr>
                <m:sty m:val="p"/>
              </m:rPr>
              <w:rPr>
                <w:rFonts w:ascii="Cambria Math" w:hAnsi="Cambria Math"/>
              </w:rPr>
              <m:t>support de Y</m:t>
            </m:r>
          </m:den>
        </m:f>
      </m:oMath>
      <w:r>
        <w:t xml:space="preserve">   </w:t>
      </w:r>
    </w:p>
    <w:p w:rsidR="00875714" w:rsidRPr="000854B7" w:rsidRDefault="000854B7" w:rsidP="000854B7">
      <w:pPr>
        <w:ind w:left="372" w:firstLine="708"/>
      </w:pPr>
      <w:r w:rsidRPr="000854B7">
        <w:t>On obtient donc le tableau de li</w:t>
      </w:r>
      <w:r w:rsidR="00875714" w:rsidRPr="000854B7">
        <w:t>ft</w:t>
      </w:r>
      <w:r w:rsidRPr="000854B7">
        <w:t xml:space="preserve"> suivant :</w:t>
      </w:r>
    </w:p>
    <w:tbl>
      <w:tblPr>
        <w:tblW w:w="4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8"/>
        <w:gridCol w:w="730"/>
        <w:gridCol w:w="730"/>
        <w:gridCol w:w="730"/>
        <w:gridCol w:w="730"/>
      </w:tblGrid>
      <w:tr w:rsidR="000504DE" w:rsidRPr="000504DE" w:rsidTr="000504DE">
        <w:trPr>
          <w:trHeight w:val="473"/>
          <w:jc w:val="center"/>
        </w:trPr>
        <w:tc>
          <w:tcPr>
            <w:tcW w:w="1348" w:type="dxa"/>
            <w:shd w:val="clear" w:color="auto" w:fill="auto"/>
            <w:tcMar>
              <w:top w:w="8" w:type="dxa"/>
              <w:left w:w="8" w:type="dxa"/>
              <w:bottom w:w="0" w:type="dxa"/>
              <w:right w:w="8" w:type="dxa"/>
            </w:tcMar>
            <w:vAlign w:val="center"/>
            <w:hideMark/>
          </w:tcPr>
          <w:p w:rsidR="000504DE" w:rsidRPr="000504DE" w:rsidRDefault="000504DE">
            <w:pPr>
              <w:jc w:val="center"/>
              <w:rPr>
                <w:rFonts w:ascii="Calibri" w:hAnsi="Calibri"/>
                <w:color w:val="000000"/>
                <w:sz w:val="16"/>
                <w:szCs w:val="16"/>
              </w:rPr>
            </w:pPr>
          </w:p>
        </w:tc>
        <w:tc>
          <w:tcPr>
            <w:tcW w:w="730" w:type="dxa"/>
            <w:shd w:val="clear" w:color="auto" w:fill="auto"/>
            <w:tcMar>
              <w:top w:w="8" w:type="dxa"/>
              <w:left w:w="8" w:type="dxa"/>
              <w:bottom w:w="0" w:type="dxa"/>
              <w:right w:w="8" w:type="dxa"/>
            </w:tcMar>
            <w:vAlign w:val="center"/>
            <w:hideMark/>
          </w:tcPr>
          <w:p w:rsidR="000504DE" w:rsidRPr="000504DE" w:rsidRDefault="000504DE">
            <w:pPr>
              <w:jc w:val="center"/>
              <w:rPr>
                <w:rFonts w:ascii="Calibri" w:hAnsi="Calibri"/>
                <w:b/>
                <w:bCs/>
                <w:color w:val="000000"/>
                <w:sz w:val="16"/>
                <w:szCs w:val="16"/>
              </w:rPr>
            </w:pPr>
            <w:r w:rsidRPr="000504DE">
              <w:rPr>
                <w:rFonts w:ascii="Calibri" w:hAnsi="Calibri"/>
                <w:b/>
                <w:bCs/>
                <w:color w:val="000000"/>
                <w:sz w:val="16"/>
                <w:szCs w:val="16"/>
              </w:rPr>
              <w:t>Beurre</w:t>
            </w:r>
          </w:p>
        </w:tc>
        <w:tc>
          <w:tcPr>
            <w:tcW w:w="730" w:type="dxa"/>
            <w:shd w:val="clear" w:color="auto" w:fill="auto"/>
            <w:tcMar>
              <w:top w:w="8" w:type="dxa"/>
              <w:left w:w="8" w:type="dxa"/>
              <w:bottom w:w="0" w:type="dxa"/>
              <w:right w:w="8" w:type="dxa"/>
            </w:tcMar>
            <w:vAlign w:val="center"/>
            <w:hideMark/>
          </w:tcPr>
          <w:p w:rsidR="000504DE" w:rsidRPr="000504DE" w:rsidRDefault="000504DE">
            <w:pPr>
              <w:jc w:val="center"/>
              <w:rPr>
                <w:rFonts w:ascii="Calibri" w:hAnsi="Calibri"/>
                <w:b/>
                <w:bCs/>
                <w:color w:val="000000"/>
                <w:sz w:val="16"/>
                <w:szCs w:val="16"/>
              </w:rPr>
            </w:pPr>
            <w:r w:rsidRPr="000504DE">
              <w:rPr>
                <w:rFonts w:ascii="Calibri" w:hAnsi="Calibri"/>
                <w:b/>
                <w:bCs/>
                <w:color w:val="000000"/>
                <w:sz w:val="16"/>
                <w:szCs w:val="16"/>
              </w:rPr>
              <w:t>Vin</w:t>
            </w:r>
          </w:p>
        </w:tc>
        <w:tc>
          <w:tcPr>
            <w:tcW w:w="730" w:type="dxa"/>
            <w:shd w:val="clear" w:color="auto" w:fill="auto"/>
            <w:tcMar>
              <w:top w:w="8" w:type="dxa"/>
              <w:left w:w="8" w:type="dxa"/>
              <w:bottom w:w="0" w:type="dxa"/>
              <w:right w:w="8" w:type="dxa"/>
            </w:tcMar>
            <w:vAlign w:val="center"/>
            <w:hideMark/>
          </w:tcPr>
          <w:p w:rsidR="000504DE" w:rsidRPr="000504DE" w:rsidRDefault="000504DE">
            <w:pPr>
              <w:jc w:val="center"/>
              <w:rPr>
                <w:rFonts w:ascii="Calibri" w:hAnsi="Calibri"/>
                <w:b/>
                <w:bCs/>
                <w:color w:val="000000"/>
                <w:sz w:val="16"/>
                <w:szCs w:val="16"/>
              </w:rPr>
            </w:pPr>
            <w:r w:rsidRPr="000504DE">
              <w:rPr>
                <w:rFonts w:ascii="Calibri" w:hAnsi="Calibri"/>
                <w:b/>
                <w:bCs/>
                <w:color w:val="000000"/>
                <w:sz w:val="16"/>
                <w:szCs w:val="16"/>
              </w:rPr>
              <w:t>Fromage</w:t>
            </w:r>
          </w:p>
        </w:tc>
        <w:tc>
          <w:tcPr>
            <w:tcW w:w="730" w:type="dxa"/>
            <w:shd w:val="clear" w:color="auto" w:fill="auto"/>
            <w:tcMar>
              <w:top w:w="8" w:type="dxa"/>
              <w:left w:w="8" w:type="dxa"/>
              <w:bottom w:w="0" w:type="dxa"/>
              <w:right w:w="8" w:type="dxa"/>
            </w:tcMar>
            <w:vAlign w:val="center"/>
            <w:hideMark/>
          </w:tcPr>
          <w:p w:rsidR="000504DE" w:rsidRPr="000504DE" w:rsidRDefault="000504DE">
            <w:pPr>
              <w:jc w:val="center"/>
              <w:rPr>
                <w:rFonts w:ascii="Calibri" w:hAnsi="Calibri"/>
                <w:b/>
                <w:bCs/>
                <w:color w:val="000000"/>
                <w:sz w:val="16"/>
                <w:szCs w:val="16"/>
              </w:rPr>
            </w:pPr>
            <w:r w:rsidRPr="000504DE">
              <w:rPr>
                <w:rFonts w:ascii="Calibri" w:hAnsi="Calibri"/>
                <w:b/>
                <w:bCs/>
                <w:color w:val="000000"/>
                <w:sz w:val="16"/>
                <w:szCs w:val="16"/>
              </w:rPr>
              <w:t>Pain</w:t>
            </w:r>
          </w:p>
        </w:tc>
      </w:tr>
      <w:tr w:rsidR="000504DE" w:rsidRPr="000504DE" w:rsidTr="000504DE">
        <w:trPr>
          <w:trHeight w:val="237"/>
          <w:jc w:val="center"/>
        </w:trPr>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b/>
                <w:bCs/>
                <w:color w:val="000000"/>
                <w:sz w:val="16"/>
                <w:szCs w:val="16"/>
              </w:rPr>
            </w:pPr>
            <w:r w:rsidRPr="000504DE">
              <w:rPr>
                <w:rFonts w:ascii="Calibri" w:hAnsi="Calibri"/>
                <w:b/>
                <w:bCs/>
                <w:color w:val="000000"/>
                <w:sz w:val="16"/>
                <w:szCs w:val="16"/>
              </w:rPr>
              <w:t>Beurre</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r>
      <w:tr w:rsidR="000504DE" w:rsidRPr="000504DE" w:rsidTr="000504DE">
        <w:trPr>
          <w:trHeight w:val="237"/>
          <w:jc w:val="center"/>
        </w:trPr>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b/>
                <w:bCs/>
                <w:color w:val="000000"/>
                <w:sz w:val="16"/>
                <w:szCs w:val="16"/>
              </w:rPr>
            </w:pPr>
            <w:r w:rsidRPr="000504DE">
              <w:rPr>
                <w:rFonts w:ascii="Calibri" w:hAnsi="Calibri"/>
                <w:b/>
                <w:bCs/>
                <w:color w:val="000000"/>
                <w:sz w:val="16"/>
                <w:szCs w:val="16"/>
              </w:rPr>
              <w:t>Vin</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r w:rsidRPr="000504DE">
              <w:rPr>
                <w:rFonts w:ascii="Calibri" w:hAnsi="Calibri"/>
                <w:color w:val="000000"/>
                <w:sz w:val="16"/>
                <w:szCs w:val="16"/>
              </w:rPr>
              <w:t>0.00</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r>
      <w:tr w:rsidR="000504DE" w:rsidRPr="000504DE" w:rsidTr="000504DE">
        <w:trPr>
          <w:trHeight w:val="237"/>
          <w:jc w:val="center"/>
        </w:trPr>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b/>
                <w:bCs/>
                <w:color w:val="000000"/>
                <w:sz w:val="16"/>
                <w:szCs w:val="16"/>
              </w:rPr>
            </w:pPr>
            <w:r w:rsidRPr="000504DE">
              <w:rPr>
                <w:rFonts w:ascii="Calibri" w:hAnsi="Calibri"/>
                <w:b/>
                <w:bCs/>
                <w:color w:val="000000"/>
                <w:sz w:val="16"/>
                <w:szCs w:val="16"/>
              </w:rPr>
              <w:t>Fromage</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r w:rsidRPr="000504DE">
              <w:rPr>
                <w:rFonts w:ascii="Calibri" w:hAnsi="Calibri"/>
                <w:color w:val="000000"/>
                <w:sz w:val="16"/>
                <w:szCs w:val="16"/>
              </w:rPr>
              <w:t>0.26</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r w:rsidRPr="000504DE">
              <w:rPr>
                <w:rFonts w:ascii="Calibri" w:hAnsi="Calibri"/>
                <w:color w:val="000000"/>
                <w:sz w:val="16"/>
                <w:szCs w:val="16"/>
              </w:rPr>
              <w:t>0.92</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r>
      <w:tr w:rsidR="000504DE" w:rsidRPr="000504DE" w:rsidTr="000504DE">
        <w:trPr>
          <w:trHeight w:val="237"/>
          <w:jc w:val="center"/>
        </w:trPr>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b/>
                <w:bCs/>
                <w:color w:val="000000"/>
                <w:sz w:val="16"/>
                <w:szCs w:val="16"/>
              </w:rPr>
            </w:pPr>
            <w:r w:rsidRPr="000504DE">
              <w:rPr>
                <w:rFonts w:ascii="Calibri" w:hAnsi="Calibri"/>
                <w:b/>
                <w:bCs/>
                <w:color w:val="000000"/>
                <w:sz w:val="16"/>
                <w:szCs w:val="16"/>
              </w:rPr>
              <w:t>Pain</w:t>
            </w:r>
          </w:p>
        </w:tc>
        <w:tc>
          <w:tcPr>
            <w:tcW w:w="0" w:type="auto"/>
            <w:shd w:val="clear" w:color="000000" w:fill="FDE9D9"/>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r w:rsidRPr="000504DE">
              <w:rPr>
                <w:rFonts w:ascii="Calibri" w:hAnsi="Calibri"/>
                <w:color w:val="000000"/>
                <w:sz w:val="16"/>
                <w:szCs w:val="16"/>
              </w:rPr>
              <w:t>1.25</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r w:rsidRPr="000504DE">
              <w:rPr>
                <w:rFonts w:ascii="Calibri" w:hAnsi="Calibri"/>
                <w:color w:val="000000"/>
                <w:sz w:val="16"/>
                <w:szCs w:val="16"/>
              </w:rPr>
              <w:t>0.75</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r w:rsidRPr="000504DE">
              <w:rPr>
                <w:rFonts w:ascii="Calibri" w:hAnsi="Calibri"/>
                <w:color w:val="000000"/>
                <w:sz w:val="16"/>
                <w:szCs w:val="16"/>
              </w:rPr>
              <w:t>0.96</w:t>
            </w:r>
          </w:p>
        </w:tc>
        <w:tc>
          <w:tcPr>
            <w:tcW w:w="0" w:type="auto"/>
            <w:shd w:val="clear" w:color="auto" w:fill="auto"/>
            <w:noWrap/>
            <w:tcMar>
              <w:top w:w="8" w:type="dxa"/>
              <w:left w:w="8" w:type="dxa"/>
              <w:bottom w:w="0" w:type="dxa"/>
              <w:right w:w="8" w:type="dxa"/>
            </w:tcMar>
            <w:vAlign w:val="bottom"/>
            <w:hideMark/>
          </w:tcPr>
          <w:p w:rsidR="000504DE" w:rsidRPr="000504DE" w:rsidRDefault="000504DE">
            <w:pPr>
              <w:rPr>
                <w:rFonts w:ascii="Calibri" w:hAnsi="Calibri"/>
                <w:color w:val="000000"/>
                <w:sz w:val="16"/>
                <w:szCs w:val="16"/>
              </w:rPr>
            </w:pPr>
          </w:p>
        </w:tc>
      </w:tr>
    </w:tbl>
    <w:p w:rsidR="00A94598" w:rsidRDefault="00A94598" w:rsidP="00A94598">
      <w:pPr>
        <w:pStyle w:val="Paragraphedeliste"/>
      </w:pPr>
    </w:p>
    <w:p w:rsidR="000854B7" w:rsidRDefault="000854B7" w:rsidP="00F271E7">
      <w:pPr>
        <w:pStyle w:val="Paragraphedeliste"/>
        <w:numPr>
          <w:ilvl w:val="0"/>
          <w:numId w:val="5"/>
        </w:numPr>
      </w:pPr>
      <w:r>
        <w:t xml:space="preserve">Le meilleur lift s’obtient pour l’association entre le beurre et le </w:t>
      </w:r>
      <w:r w:rsidR="00F271E7">
        <w:t xml:space="preserve">pain, i.e., pour </w:t>
      </w:r>
      <w:r>
        <w:t>les deux règles : Beurre = &gt; Pain et Pain =&gt; Beurre.  La valeur de 1.25 indique</w:t>
      </w:r>
      <w:r w:rsidR="00F271E7">
        <w:t xml:space="preserve"> pour la règle (Beurre =&gt; Pain) </w:t>
      </w:r>
      <w:r>
        <w:t xml:space="preserve">que la probabilité d’acheter du </w:t>
      </w:r>
      <w:r w:rsidR="00F271E7">
        <w:t xml:space="preserve">pain augmente d’un facteur </w:t>
      </w:r>
      <w:r w:rsidR="00F271E7">
        <w:lastRenderedPageBreak/>
        <w:t>de 1.25 lorsque le client achète du beurre.  En effet, la probabilité d’acheter du pain passe de 80% à 100% suite à l’achat du beurre. Puisque le lift est symétrique, il en est de même pour la règle inverse</w:t>
      </w:r>
      <w:r>
        <w:t xml:space="preserve"> </w:t>
      </w:r>
      <w:r w:rsidR="00F271E7">
        <w:t>(Pain =&gt; Beurre). En effet, la probabilité d’acheter du beurre augmente aussi d’un facteur de 1.25 passant de 30% à 37.5% suite à l’achat du pain.</w:t>
      </w:r>
      <w:r>
        <w:t xml:space="preserve">    </w:t>
      </w:r>
    </w:p>
    <w:p w:rsidR="00F81AF5" w:rsidRDefault="00F81AF5" w:rsidP="00F271E7">
      <w:pPr>
        <w:pStyle w:val="Paragraphedeliste"/>
        <w:numPr>
          <w:ilvl w:val="0"/>
          <w:numId w:val="5"/>
        </w:numPr>
      </w:pPr>
      <w:r>
        <w:t xml:space="preserve">Le pire lift s’obtient pour l’association entre le beurre et le vin, i.e., pour les deux règles : Beurre = &gt; Vin et Vin =&gt; Beurre.  La valeur de 0 indique que les clients n’achètent jamais les deux produits en même temps. Ainsi, </w:t>
      </w:r>
      <w:r w:rsidR="009C1587">
        <w:t xml:space="preserve">si </w:t>
      </w:r>
      <w:r>
        <w:t xml:space="preserve">le client achète du beurre, il n’achètera pas de vin et vice versa.  On le constate aussi par le fait que la confiance est nulle dans les deux cas. </w:t>
      </w:r>
    </w:p>
    <w:p w:rsidR="00F81AF5" w:rsidRDefault="00F81AF5" w:rsidP="00A100A0">
      <w:pPr>
        <w:pStyle w:val="Paragraphedeliste"/>
        <w:numPr>
          <w:ilvl w:val="0"/>
          <w:numId w:val="5"/>
        </w:numPr>
      </w:pPr>
      <w:r>
        <w:t xml:space="preserve">Le pain et le fromage sont les deux items qui sont les plus près d’être indépendants, lift plus près de 1.  En effet, pour les deux règles issues de cette paire d’items, on constate que la confiance est </w:t>
      </w:r>
      <w:r w:rsidR="00A100A0">
        <w:t xml:space="preserve">légèrement inférieure au support du conséquent (ratio de 0.96). En effet, la probabilité d’acheter du pain passe de 80% à 76.92% suite à l’achat du fromage et celle du fromage passe de 65% à 62.5% suite à l’achat du pain.     </w:t>
      </w:r>
      <w:r>
        <w:t xml:space="preserve">   </w:t>
      </w:r>
    </w:p>
    <w:p w:rsidR="00681218" w:rsidRDefault="009E6BD8" w:rsidP="009E6BD8">
      <w:pPr>
        <w:pStyle w:val="Titre2"/>
      </w:pPr>
      <w:r>
        <w:t>Exercice 2</w:t>
      </w:r>
    </w:p>
    <w:p w:rsidR="00681218" w:rsidRPr="00681218" w:rsidRDefault="00681218" w:rsidP="00681218">
      <w:pPr>
        <w:pStyle w:val="Paragraphedeliste"/>
        <w:numPr>
          <w:ilvl w:val="0"/>
          <w:numId w:val="7"/>
        </w:numPr>
        <w:rPr>
          <w:b/>
          <w:u w:val="single"/>
        </w:rPr>
      </w:pPr>
      <w:r>
        <w:t>Le tableau croisé est le suivant :</w:t>
      </w:r>
    </w:p>
    <w:p w:rsidR="00681218" w:rsidRDefault="00681218" w:rsidP="00681218">
      <w:r w:rsidRPr="00681218">
        <w:rPr>
          <w:noProof/>
        </w:rPr>
        <w:drawing>
          <wp:inline distT="0" distB="0" distL="0" distR="0">
            <wp:extent cx="4105275" cy="962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D87A66" w:rsidRDefault="00681218" w:rsidP="00681218">
      <w:r>
        <w:t>Où  lignes = gâteau au citron (GC) et colonnes = tarte au citron (TC)</w:t>
      </w:r>
    </w:p>
    <w:p w:rsidR="00681218" w:rsidRDefault="00D87A66" w:rsidP="00681218">
      <w:r>
        <w:t xml:space="preserve">Les deux règles sont : (TC =&gt; GC) et (GC =&gt; TC) </w:t>
      </w:r>
      <w:r w:rsidR="00681218">
        <w:t xml:space="preserve"> </w:t>
      </w:r>
    </w:p>
    <w:p w:rsidR="00681218" w:rsidRDefault="00681218" w:rsidP="00681218">
      <w:r>
        <w:t xml:space="preserve">Support (GC) = </w:t>
      </w:r>
      <m:oMath>
        <m:f>
          <m:fPr>
            <m:ctrlPr>
              <w:rPr>
                <w:rFonts w:ascii="Cambria Math" w:hAnsi="Cambria Math"/>
                <w:i/>
              </w:rPr>
            </m:ctrlPr>
          </m:fPr>
          <m:num>
            <m:r>
              <w:rPr>
                <w:rFonts w:ascii="Cambria Math" w:hAnsi="Cambria Math"/>
              </w:rPr>
              <m:t>425</m:t>
            </m:r>
          </m:num>
          <m:den>
            <m:r>
              <w:rPr>
                <w:rFonts w:ascii="Cambria Math" w:hAnsi="Cambria Math"/>
              </w:rPr>
              <m:t>4523</m:t>
            </m:r>
          </m:den>
        </m:f>
        <m:r>
          <w:rPr>
            <w:rFonts w:ascii="Cambria Math" w:hAnsi="Cambria Math"/>
          </w:rPr>
          <m:t>≈0,0940</m:t>
        </m:r>
      </m:oMath>
    </w:p>
    <w:p w:rsidR="00D87A66" w:rsidRDefault="00D87A66" w:rsidP="00681218">
      <w:r>
        <w:t xml:space="preserve">La probabilité qu’un client achète du gâteau au citron est estimée à 9,4% (pourcentage de transactions où le gâteau au citron est présent). </w:t>
      </w:r>
    </w:p>
    <w:p w:rsidR="00681218" w:rsidRDefault="00681218" w:rsidP="00681218">
      <w:r>
        <w:t xml:space="preserve">Support (TC) = </w:t>
      </w:r>
      <m:oMath>
        <m:f>
          <m:fPr>
            <m:ctrlPr>
              <w:rPr>
                <w:rFonts w:ascii="Cambria Math" w:hAnsi="Cambria Math"/>
                <w:i/>
              </w:rPr>
            </m:ctrlPr>
          </m:fPr>
          <m:num>
            <m:r>
              <w:rPr>
                <w:rFonts w:ascii="Cambria Math" w:hAnsi="Cambria Math"/>
              </w:rPr>
              <m:t>354</m:t>
            </m:r>
          </m:num>
          <m:den>
            <m:r>
              <w:rPr>
                <w:rFonts w:ascii="Cambria Math" w:hAnsi="Cambria Math"/>
              </w:rPr>
              <m:t>4523</m:t>
            </m:r>
          </m:den>
        </m:f>
        <m:r>
          <w:rPr>
            <w:rFonts w:ascii="Cambria Math" w:hAnsi="Cambria Math"/>
          </w:rPr>
          <m:t>≈0,0783</m:t>
        </m:r>
      </m:oMath>
    </w:p>
    <w:p w:rsidR="00D87A66" w:rsidRDefault="00D87A66" w:rsidP="00D87A66">
      <w:r>
        <w:t xml:space="preserve">La probabilité qu’un client achète de la tarte au citron est estimée à 7,83% (pourcentage de transactions où la tarte au citron est présente). </w:t>
      </w:r>
    </w:p>
    <w:p w:rsidR="00681218" w:rsidRDefault="00D87A66" w:rsidP="00681218">
      <w:r>
        <w:t xml:space="preserve">Support (TC =&gt; GC) = Support (GC=&gt;TC) = </w:t>
      </w:r>
      <m:oMath>
        <m:f>
          <m:fPr>
            <m:ctrlPr>
              <w:rPr>
                <w:rFonts w:ascii="Cambria Math" w:hAnsi="Cambria Math"/>
                <w:i/>
              </w:rPr>
            </m:ctrlPr>
          </m:fPr>
          <m:num>
            <m:r>
              <w:rPr>
                <w:rFonts w:ascii="Cambria Math" w:hAnsi="Cambria Math"/>
              </w:rPr>
              <m:t>168</m:t>
            </m:r>
          </m:num>
          <m:den>
            <m:r>
              <w:rPr>
                <w:rFonts w:ascii="Cambria Math" w:hAnsi="Cambria Math"/>
              </w:rPr>
              <m:t>4523</m:t>
            </m:r>
          </m:den>
        </m:f>
        <m:r>
          <w:rPr>
            <w:rFonts w:ascii="Cambria Math" w:hAnsi="Cambria Math"/>
          </w:rPr>
          <m:t>≈0,0371</m:t>
        </m:r>
      </m:oMath>
    </w:p>
    <w:p w:rsidR="00D87A66" w:rsidRDefault="00D87A66" w:rsidP="00D87A66">
      <w:r>
        <w:t xml:space="preserve">La probabilité qu’un client achète les deux items est estimée à 3,71% (pourcentage de transactions où la tarte au citron est présente). </w:t>
      </w:r>
    </w:p>
    <w:p w:rsidR="00D87A66" w:rsidRDefault="00D87A66" w:rsidP="00681218">
      <w:r>
        <w:lastRenderedPageBreak/>
        <w:t xml:space="preserve">Confiance (TC =&gt; GC) = </w:t>
      </w:r>
      <m:oMath>
        <m:f>
          <m:fPr>
            <m:ctrlPr>
              <w:rPr>
                <w:rFonts w:ascii="Cambria Math" w:hAnsi="Cambria Math"/>
                <w:i/>
              </w:rPr>
            </m:ctrlPr>
          </m:fPr>
          <m:num>
            <m:r>
              <w:rPr>
                <w:rFonts w:ascii="Cambria Math" w:hAnsi="Cambria Math"/>
              </w:rPr>
              <m:t>168</m:t>
            </m:r>
          </m:num>
          <m:den>
            <m:r>
              <w:rPr>
                <w:rFonts w:ascii="Cambria Math" w:hAnsi="Cambria Math"/>
              </w:rPr>
              <m:t>354</m:t>
            </m:r>
          </m:den>
        </m:f>
        <m:r>
          <w:rPr>
            <w:rFonts w:ascii="Cambria Math" w:hAnsi="Cambria Math"/>
          </w:rPr>
          <m:t>≈0,4746</m:t>
        </m:r>
      </m:oMath>
    </w:p>
    <w:p w:rsidR="00D87A66" w:rsidRDefault="00D87A66" w:rsidP="00681218">
      <w:r>
        <w:t>La probabilité qu’un client achète du gâteau citron sachant qu’il a acheté de la tarte au citron est estimée à 47,46%.</w:t>
      </w:r>
    </w:p>
    <w:p w:rsidR="00D87A66" w:rsidRPr="00A94598" w:rsidRDefault="00D87A66" w:rsidP="00D87A66">
      <w:r>
        <w:t xml:space="preserve">Confiance (GC =&gt; TC) = </w:t>
      </w:r>
      <m:oMath>
        <m:f>
          <m:fPr>
            <m:ctrlPr>
              <w:rPr>
                <w:rFonts w:ascii="Cambria Math" w:hAnsi="Cambria Math"/>
                <w:i/>
              </w:rPr>
            </m:ctrlPr>
          </m:fPr>
          <m:num>
            <m:r>
              <w:rPr>
                <w:rFonts w:ascii="Cambria Math" w:hAnsi="Cambria Math"/>
              </w:rPr>
              <m:t>168</m:t>
            </m:r>
          </m:num>
          <m:den>
            <m:r>
              <w:rPr>
                <w:rFonts w:ascii="Cambria Math" w:hAnsi="Cambria Math"/>
              </w:rPr>
              <m:t>425</m:t>
            </m:r>
          </m:den>
        </m:f>
        <m:r>
          <w:rPr>
            <w:rFonts w:ascii="Cambria Math" w:hAnsi="Cambria Math"/>
          </w:rPr>
          <m:t>≈0,3953</m:t>
        </m:r>
      </m:oMath>
    </w:p>
    <w:p w:rsidR="00D87A66" w:rsidRDefault="00D87A66" w:rsidP="00D87A66">
      <w:r>
        <w:t>La probabilité qu’un client achète de la tarte au citron sachant qu’il a acheté du gâteau au citron est estimée à 39,53%.</w:t>
      </w:r>
    </w:p>
    <w:p w:rsidR="00D87A66" w:rsidRPr="00D87A66" w:rsidRDefault="00D87A66" w:rsidP="00D87A66">
      <w:pPr>
        <w:rPr>
          <w:lang w:val="en-US"/>
        </w:rPr>
      </w:pPr>
      <w:r w:rsidRPr="00D87A66">
        <w:rPr>
          <w:lang w:val="en-US"/>
        </w:rPr>
        <w:t xml:space="preserve">Lift (TC =&gt; GC) = Lift (GC=&gt;TC) = </w:t>
      </w:r>
      <m:oMath>
        <m:f>
          <m:fPr>
            <m:ctrlPr>
              <w:rPr>
                <w:rFonts w:ascii="Cambria Math" w:hAnsi="Cambria Math"/>
                <w:i/>
              </w:rPr>
            </m:ctrlPr>
          </m:fPr>
          <m:num>
            <m:r>
              <w:rPr>
                <w:rFonts w:ascii="Cambria Math" w:hAnsi="Cambria Math"/>
                <w:lang w:val="en-US"/>
              </w:rPr>
              <m:t>0,4746</m:t>
            </m:r>
          </m:num>
          <m:den>
            <m:r>
              <w:rPr>
                <w:rFonts w:ascii="Cambria Math" w:hAnsi="Cambria Math"/>
                <w:lang w:val="en-US"/>
              </w:rPr>
              <m:t>0,0940</m:t>
            </m:r>
          </m:den>
        </m:f>
        <m:r>
          <w:rPr>
            <w:rFonts w:ascii="Cambria Math" w:hAnsi="Cambria Math"/>
            <w:lang w:val="en-US"/>
          </w:rPr>
          <m:t>≈5,05</m:t>
        </m:r>
      </m:oMath>
    </w:p>
    <w:p w:rsidR="00D87A66" w:rsidRDefault="00914058" w:rsidP="00681218">
      <w:r w:rsidRPr="00914058">
        <w:t>On a une association positive.</w:t>
      </w:r>
      <w:r>
        <w:t xml:space="preserve">  Le fait de savoir que le client a acheté un des deux items fait plus que quintupler la probabilité qu’il achète l’autre item.</w:t>
      </w:r>
    </w:p>
    <w:p w:rsidR="00C56D47" w:rsidRDefault="00C56D47" w:rsidP="00D65DB4">
      <w:pPr>
        <w:pStyle w:val="Paragraphedeliste"/>
        <w:numPr>
          <w:ilvl w:val="0"/>
          <w:numId w:val="7"/>
        </w:numPr>
      </w:pPr>
      <w:r>
        <w:t xml:space="preserve">Les deux règles associées aux items croissant au fromage (CF) et croissant aux amandes (CA) sont : (CF =&gt; CA) et (CA =&gt; CF).  Tout d’abord, on constate que le lift est de 1.03, ce qui laisse croire que les deux items sont quasi-indépendants.  En effet, on constate que la confiance de (CF =&gt; CA) ≈ 5,19% et que le support de CA ≈ 5,04%. Ainsi, la probabilité d’acheter des croissants aux amandes est très peu affectée par le fait d’avoir acheté des croissants au fromage.  Il en est de même pour la règle inverse puisque confiance (CA =&gt; CF) ≈ 8,77% et support (CF) ≈ 8,51%.   </w:t>
      </w:r>
    </w:p>
    <w:p w:rsidR="00C56D47" w:rsidRDefault="00C56D47" w:rsidP="00C56D47">
      <w:pPr>
        <w:pStyle w:val="Paragraphedeliste"/>
        <w:numPr>
          <w:ilvl w:val="0"/>
          <w:numId w:val="7"/>
        </w:numPr>
      </w:pPr>
      <w:r>
        <w:t xml:space="preserve">Les deux règles associées aux items café (C) et thé vert (TV) sont : (C =&gt; TV) et (TV =&gt; C).  Tout d’abord, </w:t>
      </w:r>
      <w:r w:rsidR="0018338C">
        <w:t>on constate que le lift est de 0.</w:t>
      </w:r>
      <w:r>
        <w:t>3</w:t>
      </w:r>
      <w:r w:rsidR="0018338C">
        <w:t>4</w:t>
      </w:r>
      <w:r>
        <w:t xml:space="preserve">, ce qui laisse croire </w:t>
      </w:r>
      <w:r w:rsidR="0018338C">
        <w:t xml:space="preserve">à une association négative, i.e., que les items sont moins souvent achetés ensemble que s’ils étaient indépendants.  </w:t>
      </w:r>
      <w:r>
        <w:t xml:space="preserve"> En effet, on constate que la confiance de </w:t>
      </w:r>
      <w:r w:rsidR="0018338C">
        <w:t>(C =&gt; TV</w:t>
      </w:r>
      <w:r>
        <w:t>)</w:t>
      </w:r>
      <w:r w:rsidR="0018338C">
        <w:t xml:space="preserve"> ≈ 2,34</w:t>
      </w:r>
      <w:r>
        <w:t xml:space="preserve">% et que le support </w:t>
      </w:r>
      <w:r w:rsidR="0018338C">
        <w:t>de TV</w:t>
      </w:r>
      <w:r>
        <w:t xml:space="preserve"> ≈</w:t>
      </w:r>
      <w:r w:rsidR="0018338C">
        <w:t xml:space="preserve"> 6,85</w:t>
      </w:r>
      <w:r>
        <w:t>%</w:t>
      </w:r>
      <w:r w:rsidR="0018338C">
        <w:t xml:space="preserve">. Ainsi, l’achat de café fait chuter la probabilité d’acheter du thé vert de 6,85% à 2,34% (facteur d’environ 1/3).  </w:t>
      </w:r>
      <w:r>
        <w:t>Il en est de même pour l</w:t>
      </w:r>
      <w:r w:rsidR="0018338C">
        <w:t xml:space="preserve">a règle inverse </w:t>
      </w:r>
      <w:r>
        <w:t>puisque</w:t>
      </w:r>
      <w:r w:rsidR="0018338C">
        <w:t xml:space="preserve"> l’achat de thé vert fait chuter la probabilité d’achet</w:t>
      </w:r>
      <w:r w:rsidR="001526F5">
        <w:t xml:space="preserve">er du café de 11,34% à 3,87%. Ce résultat semble plus particulièrement logique pour des transactions impliquant une seule personne puisqu’il est plutôt rare qu’une même personne prendre simultanément un café et un thé vert. Intuitivement, on peut penser que les cas où les deux items seraient achetés simultanément pourraient être des achats pour plus d’une personne. </w:t>
      </w:r>
    </w:p>
    <w:p w:rsidR="00C56D47" w:rsidRDefault="0039462E" w:rsidP="00C56D47">
      <w:pPr>
        <w:pStyle w:val="Paragraphedeliste"/>
        <w:numPr>
          <w:ilvl w:val="0"/>
          <w:numId w:val="7"/>
        </w:numPr>
      </w:pPr>
      <w:r>
        <w:t>On regarde alors la ligne associée à capuccino (antécédent) dans la matrice de confiance.  On devrait donc suggérer une tarte au chocolat (confiance la plus élevée)</w:t>
      </w:r>
      <w:r w:rsidR="006E7D3B">
        <w:t xml:space="preserve">.  La probabilité d’acheter une tarte au chocolat sera alors de 47,41%.  Sans savoir que le client a acheté un capuccino, la probabilité d’acheter une tarte au chocolat est de  8,42% (support individuel de la tarte au chocolat). </w:t>
      </w:r>
      <w:r w:rsidR="00483BDE">
        <w:t xml:space="preserve">On constate que suite à l’achat de capuccino, la probabilité d’acheter de la tarte au chocolat a été multipliée par un facteur d’environ 5,6 (lift de cette paire d’items). </w:t>
      </w:r>
    </w:p>
    <w:p w:rsidR="00D35F81" w:rsidRPr="00914058" w:rsidRDefault="00D35F81" w:rsidP="00C56D47">
      <w:pPr>
        <w:pStyle w:val="Paragraphedeliste"/>
        <w:ind w:left="360"/>
      </w:pPr>
    </w:p>
    <w:sectPr w:rsidR="00D35F81" w:rsidRPr="00914058" w:rsidSect="004F07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690" w:rsidRDefault="006C4690" w:rsidP="009E6BD8">
      <w:pPr>
        <w:spacing w:after="0" w:line="240" w:lineRule="auto"/>
      </w:pPr>
      <w:r>
        <w:separator/>
      </w:r>
    </w:p>
  </w:endnote>
  <w:endnote w:type="continuationSeparator" w:id="0">
    <w:p w:rsidR="006C4690" w:rsidRDefault="006C4690" w:rsidP="009E6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690" w:rsidRDefault="006C4690" w:rsidP="009E6BD8">
      <w:pPr>
        <w:spacing w:after="0" w:line="240" w:lineRule="auto"/>
      </w:pPr>
      <w:r>
        <w:separator/>
      </w:r>
    </w:p>
  </w:footnote>
  <w:footnote w:type="continuationSeparator" w:id="0">
    <w:p w:rsidR="006C4690" w:rsidRDefault="006C4690" w:rsidP="009E6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961FE"/>
    <w:multiLevelType w:val="hybridMultilevel"/>
    <w:tmpl w:val="536270E8"/>
    <w:lvl w:ilvl="0" w:tplc="D4E84308">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DB2BCB"/>
    <w:multiLevelType w:val="hybridMultilevel"/>
    <w:tmpl w:val="599E7BC0"/>
    <w:lvl w:ilvl="0" w:tplc="0C0C000F">
      <w:start w:val="1"/>
      <w:numFmt w:val="decimal"/>
      <w:lvlText w:val="%1."/>
      <w:lvlJc w:val="left"/>
      <w:pPr>
        <w:ind w:left="1077" w:hanging="360"/>
      </w:pPr>
    </w:lvl>
    <w:lvl w:ilvl="1" w:tplc="0C0C0019" w:tentative="1">
      <w:start w:val="1"/>
      <w:numFmt w:val="lowerLetter"/>
      <w:lvlText w:val="%2."/>
      <w:lvlJc w:val="left"/>
      <w:pPr>
        <w:ind w:left="1797" w:hanging="360"/>
      </w:pPr>
    </w:lvl>
    <w:lvl w:ilvl="2" w:tplc="0C0C001B" w:tentative="1">
      <w:start w:val="1"/>
      <w:numFmt w:val="lowerRoman"/>
      <w:lvlText w:val="%3."/>
      <w:lvlJc w:val="right"/>
      <w:pPr>
        <w:ind w:left="2517" w:hanging="180"/>
      </w:pPr>
    </w:lvl>
    <w:lvl w:ilvl="3" w:tplc="0C0C000F" w:tentative="1">
      <w:start w:val="1"/>
      <w:numFmt w:val="decimal"/>
      <w:lvlText w:val="%4."/>
      <w:lvlJc w:val="left"/>
      <w:pPr>
        <w:ind w:left="3237" w:hanging="360"/>
      </w:pPr>
    </w:lvl>
    <w:lvl w:ilvl="4" w:tplc="0C0C0019" w:tentative="1">
      <w:start w:val="1"/>
      <w:numFmt w:val="lowerLetter"/>
      <w:lvlText w:val="%5."/>
      <w:lvlJc w:val="left"/>
      <w:pPr>
        <w:ind w:left="3957" w:hanging="360"/>
      </w:pPr>
    </w:lvl>
    <w:lvl w:ilvl="5" w:tplc="0C0C001B" w:tentative="1">
      <w:start w:val="1"/>
      <w:numFmt w:val="lowerRoman"/>
      <w:lvlText w:val="%6."/>
      <w:lvlJc w:val="right"/>
      <w:pPr>
        <w:ind w:left="4677" w:hanging="180"/>
      </w:pPr>
    </w:lvl>
    <w:lvl w:ilvl="6" w:tplc="0C0C000F" w:tentative="1">
      <w:start w:val="1"/>
      <w:numFmt w:val="decimal"/>
      <w:lvlText w:val="%7."/>
      <w:lvlJc w:val="left"/>
      <w:pPr>
        <w:ind w:left="5397" w:hanging="360"/>
      </w:pPr>
    </w:lvl>
    <w:lvl w:ilvl="7" w:tplc="0C0C0019" w:tentative="1">
      <w:start w:val="1"/>
      <w:numFmt w:val="lowerLetter"/>
      <w:lvlText w:val="%8."/>
      <w:lvlJc w:val="left"/>
      <w:pPr>
        <w:ind w:left="6117" w:hanging="360"/>
      </w:pPr>
    </w:lvl>
    <w:lvl w:ilvl="8" w:tplc="0C0C001B" w:tentative="1">
      <w:start w:val="1"/>
      <w:numFmt w:val="lowerRoman"/>
      <w:lvlText w:val="%9."/>
      <w:lvlJc w:val="right"/>
      <w:pPr>
        <w:ind w:left="6837" w:hanging="180"/>
      </w:pPr>
    </w:lvl>
  </w:abstractNum>
  <w:abstractNum w:abstractNumId="2" w15:restartNumberingAfterBreak="0">
    <w:nsid w:val="21C667E6"/>
    <w:multiLevelType w:val="hybridMultilevel"/>
    <w:tmpl w:val="4FE0D51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9D9318D"/>
    <w:multiLevelType w:val="hybridMultilevel"/>
    <w:tmpl w:val="A2D08836"/>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35C63918"/>
    <w:multiLevelType w:val="hybridMultilevel"/>
    <w:tmpl w:val="0A28F61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8486A9C"/>
    <w:multiLevelType w:val="hybridMultilevel"/>
    <w:tmpl w:val="D61ED7BC"/>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3ABF6572"/>
    <w:multiLevelType w:val="hybridMultilevel"/>
    <w:tmpl w:val="B13E1B94"/>
    <w:lvl w:ilvl="0" w:tplc="3B906472">
      <w:start w:val="1"/>
      <w:numFmt w:val="decimal"/>
      <w:lvlText w:val="%1."/>
      <w:lvlJc w:val="left"/>
      <w:pPr>
        <w:ind w:left="360" w:hanging="360"/>
      </w:pPr>
      <w:rPr>
        <w:b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E8F3797"/>
    <w:multiLevelType w:val="hybridMultilevel"/>
    <w:tmpl w:val="EE62BA5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EFD32A4"/>
    <w:multiLevelType w:val="hybridMultilevel"/>
    <w:tmpl w:val="065A007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15:restartNumberingAfterBreak="0">
    <w:nsid w:val="3F7775F9"/>
    <w:multiLevelType w:val="hybridMultilevel"/>
    <w:tmpl w:val="C018C934"/>
    <w:lvl w:ilvl="0" w:tplc="7B82AB9A">
      <w:start w:val="1"/>
      <w:numFmt w:val="decimal"/>
      <w:lvlText w:val="%1."/>
      <w:lvlJc w:val="left"/>
      <w:pPr>
        <w:ind w:left="360" w:hanging="360"/>
      </w:pPr>
      <w:rPr>
        <w:rFonts w:hint="default"/>
        <w:b w:val="0"/>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449D0CE2"/>
    <w:multiLevelType w:val="hybridMultilevel"/>
    <w:tmpl w:val="587CE2E2"/>
    <w:lvl w:ilvl="0" w:tplc="0C0C0009">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44F95317"/>
    <w:multiLevelType w:val="hybridMultilevel"/>
    <w:tmpl w:val="D612F51C"/>
    <w:lvl w:ilvl="0" w:tplc="3B906472">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B60A55"/>
    <w:multiLevelType w:val="hybridMultilevel"/>
    <w:tmpl w:val="40FA1E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24573D0"/>
    <w:multiLevelType w:val="hybridMultilevel"/>
    <w:tmpl w:val="6D2A5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0431E7"/>
    <w:multiLevelType w:val="hybridMultilevel"/>
    <w:tmpl w:val="FC7223E6"/>
    <w:lvl w:ilvl="0" w:tplc="B57864EC">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69D7FD8"/>
    <w:multiLevelType w:val="hybridMultilevel"/>
    <w:tmpl w:val="93BE4310"/>
    <w:lvl w:ilvl="0" w:tplc="1D8008D2">
      <w:start w:val="1"/>
      <w:numFmt w:val="decimal"/>
      <w:lvlText w:val="%1."/>
      <w:lvlJc w:val="left"/>
      <w:pPr>
        <w:ind w:left="770" w:hanging="360"/>
      </w:pPr>
      <w:rPr>
        <w:b w:val="0"/>
      </w:rPr>
    </w:lvl>
    <w:lvl w:ilvl="1" w:tplc="0C0C0019" w:tentative="1">
      <w:start w:val="1"/>
      <w:numFmt w:val="lowerLetter"/>
      <w:lvlText w:val="%2."/>
      <w:lvlJc w:val="left"/>
      <w:pPr>
        <w:ind w:left="1490" w:hanging="360"/>
      </w:pPr>
    </w:lvl>
    <w:lvl w:ilvl="2" w:tplc="0C0C001B" w:tentative="1">
      <w:start w:val="1"/>
      <w:numFmt w:val="lowerRoman"/>
      <w:lvlText w:val="%3."/>
      <w:lvlJc w:val="right"/>
      <w:pPr>
        <w:ind w:left="2210" w:hanging="180"/>
      </w:pPr>
    </w:lvl>
    <w:lvl w:ilvl="3" w:tplc="0C0C000F" w:tentative="1">
      <w:start w:val="1"/>
      <w:numFmt w:val="decimal"/>
      <w:lvlText w:val="%4."/>
      <w:lvlJc w:val="left"/>
      <w:pPr>
        <w:ind w:left="2930" w:hanging="360"/>
      </w:pPr>
    </w:lvl>
    <w:lvl w:ilvl="4" w:tplc="0C0C0019" w:tentative="1">
      <w:start w:val="1"/>
      <w:numFmt w:val="lowerLetter"/>
      <w:lvlText w:val="%5."/>
      <w:lvlJc w:val="left"/>
      <w:pPr>
        <w:ind w:left="3650" w:hanging="360"/>
      </w:pPr>
    </w:lvl>
    <w:lvl w:ilvl="5" w:tplc="0C0C001B" w:tentative="1">
      <w:start w:val="1"/>
      <w:numFmt w:val="lowerRoman"/>
      <w:lvlText w:val="%6."/>
      <w:lvlJc w:val="right"/>
      <w:pPr>
        <w:ind w:left="4370" w:hanging="180"/>
      </w:pPr>
    </w:lvl>
    <w:lvl w:ilvl="6" w:tplc="0C0C000F" w:tentative="1">
      <w:start w:val="1"/>
      <w:numFmt w:val="decimal"/>
      <w:lvlText w:val="%7."/>
      <w:lvlJc w:val="left"/>
      <w:pPr>
        <w:ind w:left="5090" w:hanging="360"/>
      </w:pPr>
    </w:lvl>
    <w:lvl w:ilvl="7" w:tplc="0C0C0019" w:tentative="1">
      <w:start w:val="1"/>
      <w:numFmt w:val="lowerLetter"/>
      <w:lvlText w:val="%8."/>
      <w:lvlJc w:val="left"/>
      <w:pPr>
        <w:ind w:left="5810" w:hanging="360"/>
      </w:pPr>
    </w:lvl>
    <w:lvl w:ilvl="8" w:tplc="0C0C001B" w:tentative="1">
      <w:start w:val="1"/>
      <w:numFmt w:val="lowerRoman"/>
      <w:lvlText w:val="%9."/>
      <w:lvlJc w:val="right"/>
      <w:pPr>
        <w:ind w:left="6530" w:hanging="180"/>
      </w:pPr>
    </w:lvl>
  </w:abstractNum>
  <w:abstractNum w:abstractNumId="16" w15:restartNumberingAfterBreak="0">
    <w:nsid w:val="572730C9"/>
    <w:multiLevelType w:val="hybridMultilevel"/>
    <w:tmpl w:val="E1A4E41E"/>
    <w:lvl w:ilvl="0" w:tplc="0A62A838">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74D46E2"/>
    <w:multiLevelType w:val="hybridMultilevel"/>
    <w:tmpl w:val="E4B0F3A6"/>
    <w:lvl w:ilvl="0" w:tplc="C24ED2B4">
      <w:start w:val="1"/>
      <w:numFmt w:val="lowerLetter"/>
      <w:lvlText w:val="%1)"/>
      <w:lvlJc w:val="left"/>
      <w:pPr>
        <w:ind w:left="1080" w:hanging="360"/>
      </w:pPr>
      <w:rPr>
        <w:rFonts w:hint="default"/>
        <w:b w:val="0"/>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76553E0"/>
    <w:multiLevelType w:val="hybridMultilevel"/>
    <w:tmpl w:val="F9968862"/>
    <w:lvl w:ilvl="0" w:tplc="8AF2FA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9" w15:restartNumberingAfterBreak="0">
    <w:nsid w:val="719646A7"/>
    <w:multiLevelType w:val="hybridMultilevel"/>
    <w:tmpl w:val="28EAE018"/>
    <w:lvl w:ilvl="0" w:tplc="3B906472">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AE4EBC"/>
    <w:multiLevelType w:val="hybridMultilevel"/>
    <w:tmpl w:val="5426CD70"/>
    <w:lvl w:ilvl="0" w:tplc="F63CE3D0">
      <w:start w:val="1"/>
      <w:numFmt w:val="decimal"/>
      <w:lvlText w:val="%1."/>
      <w:lvlJc w:val="left"/>
      <w:pPr>
        <w:ind w:left="720" w:hanging="360"/>
      </w:pPr>
      <w:rPr>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7BB0518"/>
    <w:multiLevelType w:val="hybridMultilevel"/>
    <w:tmpl w:val="7ACC5A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C0DA8"/>
    <w:multiLevelType w:val="hybridMultilevel"/>
    <w:tmpl w:val="56B618A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18"/>
  </w:num>
  <w:num w:numId="3">
    <w:abstractNumId w:val="8"/>
  </w:num>
  <w:num w:numId="4">
    <w:abstractNumId w:val="22"/>
  </w:num>
  <w:num w:numId="5">
    <w:abstractNumId w:val="17"/>
  </w:num>
  <w:num w:numId="6">
    <w:abstractNumId w:val="4"/>
  </w:num>
  <w:num w:numId="7">
    <w:abstractNumId w:val="5"/>
  </w:num>
  <w:num w:numId="8">
    <w:abstractNumId w:val="19"/>
  </w:num>
  <w:num w:numId="9">
    <w:abstractNumId w:val="11"/>
  </w:num>
  <w:num w:numId="10">
    <w:abstractNumId w:val="13"/>
  </w:num>
  <w:num w:numId="11">
    <w:abstractNumId w:val="15"/>
  </w:num>
  <w:num w:numId="12">
    <w:abstractNumId w:val="21"/>
  </w:num>
  <w:num w:numId="13">
    <w:abstractNumId w:val="16"/>
  </w:num>
  <w:num w:numId="14">
    <w:abstractNumId w:val="14"/>
  </w:num>
  <w:num w:numId="15">
    <w:abstractNumId w:val="7"/>
  </w:num>
  <w:num w:numId="16">
    <w:abstractNumId w:val="3"/>
  </w:num>
  <w:num w:numId="17">
    <w:abstractNumId w:val="20"/>
  </w:num>
  <w:num w:numId="18">
    <w:abstractNumId w:val="0"/>
  </w:num>
  <w:num w:numId="19">
    <w:abstractNumId w:val="9"/>
  </w:num>
  <w:num w:numId="20">
    <w:abstractNumId w:val="10"/>
  </w:num>
  <w:num w:numId="21">
    <w:abstractNumId w:val="6"/>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98"/>
    <w:rsid w:val="000164D0"/>
    <w:rsid w:val="00037476"/>
    <w:rsid w:val="000504DE"/>
    <w:rsid w:val="000818E8"/>
    <w:rsid w:val="0008520E"/>
    <w:rsid w:val="000854B7"/>
    <w:rsid w:val="00097431"/>
    <w:rsid w:val="000E702D"/>
    <w:rsid w:val="00134E6C"/>
    <w:rsid w:val="00143F80"/>
    <w:rsid w:val="001459A6"/>
    <w:rsid w:val="001526F5"/>
    <w:rsid w:val="001561D4"/>
    <w:rsid w:val="0018338C"/>
    <w:rsid w:val="001C6600"/>
    <w:rsid w:val="002520D1"/>
    <w:rsid w:val="00305553"/>
    <w:rsid w:val="00317C2C"/>
    <w:rsid w:val="003562E2"/>
    <w:rsid w:val="0039462E"/>
    <w:rsid w:val="00440813"/>
    <w:rsid w:val="0048127C"/>
    <w:rsid w:val="00483BDE"/>
    <w:rsid w:val="004947EE"/>
    <w:rsid w:val="004B5D0D"/>
    <w:rsid w:val="004D00A8"/>
    <w:rsid w:val="004F0732"/>
    <w:rsid w:val="005466B7"/>
    <w:rsid w:val="005C1352"/>
    <w:rsid w:val="005F0833"/>
    <w:rsid w:val="005F52A6"/>
    <w:rsid w:val="00600749"/>
    <w:rsid w:val="00681218"/>
    <w:rsid w:val="006C4690"/>
    <w:rsid w:val="006E7D3B"/>
    <w:rsid w:val="007273E7"/>
    <w:rsid w:val="0085034F"/>
    <w:rsid w:val="00875714"/>
    <w:rsid w:val="00914058"/>
    <w:rsid w:val="00970D61"/>
    <w:rsid w:val="009C1587"/>
    <w:rsid w:val="009E6BD8"/>
    <w:rsid w:val="00A100A0"/>
    <w:rsid w:val="00A12CA6"/>
    <w:rsid w:val="00A33FD8"/>
    <w:rsid w:val="00A94598"/>
    <w:rsid w:val="00AC056A"/>
    <w:rsid w:val="00AC4393"/>
    <w:rsid w:val="00C1635C"/>
    <w:rsid w:val="00C428C8"/>
    <w:rsid w:val="00C56D47"/>
    <w:rsid w:val="00C849FF"/>
    <w:rsid w:val="00CF638C"/>
    <w:rsid w:val="00D35F81"/>
    <w:rsid w:val="00D87A66"/>
    <w:rsid w:val="00E17108"/>
    <w:rsid w:val="00E7446D"/>
    <w:rsid w:val="00E750EB"/>
    <w:rsid w:val="00F271E7"/>
    <w:rsid w:val="00F41F66"/>
    <w:rsid w:val="00F81A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90B42-F8E1-4EC5-8848-D6D1F8BA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C439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CA" w:eastAsia="en-US"/>
    </w:rPr>
  </w:style>
  <w:style w:type="paragraph" w:styleId="Titre2">
    <w:name w:val="heading 2"/>
    <w:basedOn w:val="Normal"/>
    <w:next w:val="Normal"/>
    <w:link w:val="Titre2Car"/>
    <w:uiPriority w:val="9"/>
    <w:unhideWhenUsed/>
    <w:qFormat/>
    <w:rsid w:val="00C428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4598"/>
    <w:pPr>
      <w:ind w:left="720"/>
      <w:contextualSpacing/>
    </w:pPr>
  </w:style>
  <w:style w:type="paragraph" w:styleId="Textedebulles">
    <w:name w:val="Balloon Text"/>
    <w:basedOn w:val="Normal"/>
    <w:link w:val="TextedebullesCar"/>
    <w:uiPriority w:val="99"/>
    <w:semiHidden/>
    <w:unhideWhenUsed/>
    <w:rsid w:val="00317C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7C2C"/>
    <w:rPr>
      <w:rFonts w:ascii="Tahoma" w:hAnsi="Tahoma" w:cs="Tahoma"/>
      <w:sz w:val="16"/>
      <w:szCs w:val="16"/>
    </w:rPr>
  </w:style>
  <w:style w:type="character" w:styleId="Textedelespacerserv">
    <w:name w:val="Placeholder Text"/>
    <w:basedOn w:val="Policepardfaut"/>
    <w:uiPriority w:val="99"/>
    <w:semiHidden/>
    <w:rsid w:val="00681218"/>
    <w:rPr>
      <w:color w:val="808080"/>
    </w:rPr>
  </w:style>
  <w:style w:type="character" w:customStyle="1" w:styleId="Titre2Car">
    <w:name w:val="Titre 2 Car"/>
    <w:basedOn w:val="Policepardfaut"/>
    <w:link w:val="Titre2"/>
    <w:uiPriority w:val="9"/>
    <w:rsid w:val="00C428C8"/>
    <w:rPr>
      <w:rFonts w:asciiTheme="majorHAnsi" w:eastAsiaTheme="majorEastAsia" w:hAnsiTheme="majorHAnsi" w:cstheme="majorBidi"/>
      <w:color w:val="365F91" w:themeColor="accent1" w:themeShade="BF"/>
      <w:sz w:val="26"/>
      <w:szCs w:val="26"/>
    </w:rPr>
  </w:style>
  <w:style w:type="paragraph" w:styleId="Notedefin">
    <w:name w:val="endnote text"/>
    <w:basedOn w:val="Normal"/>
    <w:link w:val="NotedefinCar"/>
    <w:uiPriority w:val="99"/>
    <w:semiHidden/>
    <w:unhideWhenUsed/>
    <w:rsid w:val="009E6BD8"/>
    <w:pPr>
      <w:spacing w:after="0" w:line="240" w:lineRule="auto"/>
    </w:pPr>
    <w:rPr>
      <w:rFonts w:eastAsiaTheme="minorHAnsi"/>
      <w:sz w:val="20"/>
      <w:szCs w:val="20"/>
      <w:lang w:val="en-CA" w:eastAsia="en-US"/>
    </w:rPr>
  </w:style>
  <w:style w:type="character" w:customStyle="1" w:styleId="NotedefinCar">
    <w:name w:val="Note de fin Car"/>
    <w:basedOn w:val="Policepardfaut"/>
    <w:link w:val="Notedefin"/>
    <w:uiPriority w:val="99"/>
    <w:semiHidden/>
    <w:rsid w:val="009E6BD8"/>
    <w:rPr>
      <w:rFonts w:eastAsiaTheme="minorHAnsi"/>
      <w:sz w:val="20"/>
      <w:szCs w:val="20"/>
      <w:lang w:val="en-CA" w:eastAsia="en-US"/>
    </w:rPr>
  </w:style>
  <w:style w:type="character" w:styleId="Appeldenotedefin">
    <w:name w:val="endnote reference"/>
    <w:basedOn w:val="Policepardfaut"/>
    <w:uiPriority w:val="99"/>
    <w:semiHidden/>
    <w:unhideWhenUsed/>
    <w:rsid w:val="009E6BD8"/>
    <w:rPr>
      <w:vertAlign w:val="superscript"/>
    </w:rPr>
  </w:style>
  <w:style w:type="character" w:customStyle="1" w:styleId="Titre1Car">
    <w:name w:val="Titre 1 Car"/>
    <w:basedOn w:val="Policepardfaut"/>
    <w:link w:val="Titre1"/>
    <w:uiPriority w:val="9"/>
    <w:rsid w:val="00AC4393"/>
    <w:rPr>
      <w:rFonts w:asciiTheme="majorHAnsi" w:eastAsiaTheme="majorEastAsia" w:hAnsiTheme="majorHAnsi" w:cstheme="majorBidi"/>
      <w:color w:val="365F91" w:themeColor="accent1" w:themeShade="BF"/>
      <w:sz w:val="32"/>
      <w:szCs w:val="32"/>
      <w:lang w:val="en-CA" w:eastAsia="en-US"/>
    </w:rPr>
  </w:style>
  <w:style w:type="character" w:styleId="Lienhypertexte">
    <w:name w:val="Hyperlink"/>
    <w:basedOn w:val="Policepardfaut"/>
    <w:uiPriority w:val="99"/>
    <w:unhideWhenUsed/>
    <w:rsid w:val="00AC4393"/>
    <w:rPr>
      <w:color w:val="0000FF" w:themeColor="hyperlink"/>
      <w:u w:val="single"/>
    </w:rPr>
  </w:style>
  <w:style w:type="character" w:styleId="Marquedecommentaire">
    <w:name w:val="annotation reference"/>
    <w:basedOn w:val="Policepardfaut"/>
    <w:uiPriority w:val="99"/>
    <w:semiHidden/>
    <w:unhideWhenUsed/>
    <w:rsid w:val="00AC4393"/>
    <w:rPr>
      <w:sz w:val="16"/>
      <w:szCs w:val="16"/>
    </w:rPr>
  </w:style>
  <w:style w:type="paragraph" w:styleId="Commentaire">
    <w:name w:val="annotation text"/>
    <w:basedOn w:val="Normal"/>
    <w:link w:val="CommentaireCar"/>
    <w:uiPriority w:val="99"/>
    <w:semiHidden/>
    <w:unhideWhenUsed/>
    <w:rsid w:val="00AC4393"/>
    <w:pPr>
      <w:spacing w:after="160" w:line="240" w:lineRule="auto"/>
    </w:pPr>
    <w:rPr>
      <w:rFonts w:eastAsiaTheme="minorHAnsi"/>
      <w:sz w:val="20"/>
      <w:szCs w:val="20"/>
      <w:lang w:val="en-CA" w:eastAsia="en-US"/>
    </w:rPr>
  </w:style>
  <w:style w:type="character" w:customStyle="1" w:styleId="CommentaireCar">
    <w:name w:val="Commentaire Car"/>
    <w:basedOn w:val="Policepardfaut"/>
    <w:link w:val="Commentaire"/>
    <w:uiPriority w:val="99"/>
    <w:semiHidden/>
    <w:rsid w:val="00AC4393"/>
    <w:rPr>
      <w:rFonts w:eastAsiaTheme="minorHAnsi"/>
      <w:sz w:val="20"/>
      <w:szCs w:val="20"/>
      <w:lang w:val="en-CA" w:eastAsia="en-US"/>
    </w:rPr>
  </w:style>
  <w:style w:type="paragraph" w:styleId="Objetducommentaire">
    <w:name w:val="annotation subject"/>
    <w:basedOn w:val="Commentaire"/>
    <w:next w:val="Commentaire"/>
    <w:link w:val="ObjetducommentaireCar"/>
    <w:uiPriority w:val="99"/>
    <w:semiHidden/>
    <w:unhideWhenUsed/>
    <w:rsid w:val="00AC4393"/>
    <w:rPr>
      <w:b/>
      <w:bCs/>
    </w:rPr>
  </w:style>
  <w:style w:type="character" w:customStyle="1" w:styleId="ObjetducommentaireCar">
    <w:name w:val="Objet du commentaire Car"/>
    <w:basedOn w:val="CommentaireCar"/>
    <w:link w:val="Objetducommentaire"/>
    <w:uiPriority w:val="99"/>
    <w:semiHidden/>
    <w:rsid w:val="00AC4393"/>
    <w:rPr>
      <w:rFonts w:eastAsiaTheme="minorHAnsi"/>
      <w:b/>
      <w:bCs/>
      <w:sz w:val="20"/>
      <w:szCs w:val="20"/>
      <w:lang w:val="en-CA" w:eastAsia="en-US"/>
    </w:rPr>
  </w:style>
  <w:style w:type="paragraph" w:styleId="En-tte">
    <w:name w:val="header"/>
    <w:basedOn w:val="Normal"/>
    <w:link w:val="En-tteCar"/>
    <w:uiPriority w:val="99"/>
    <w:unhideWhenUsed/>
    <w:rsid w:val="00AC4393"/>
    <w:pPr>
      <w:tabs>
        <w:tab w:val="center" w:pos="4320"/>
        <w:tab w:val="right" w:pos="8640"/>
      </w:tabs>
      <w:spacing w:after="0" w:line="240" w:lineRule="auto"/>
    </w:pPr>
    <w:rPr>
      <w:rFonts w:eastAsiaTheme="minorHAnsi"/>
      <w:lang w:val="en-CA" w:eastAsia="en-US"/>
    </w:rPr>
  </w:style>
  <w:style w:type="character" w:customStyle="1" w:styleId="En-tteCar">
    <w:name w:val="En-tête Car"/>
    <w:basedOn w:val="Policepardfaut"/>
    <w:link w:val="En-tte"/>
    <w:uiPriority w:val="99"/>
    <w:rsid w:val="00AC4393"/>
    <w:rPr>
      <w:rFonts w:eastAsiaTheme="minorHAnsi"/>
      <w:lang w:val="en-CA" w:eastAsia="en-US"/>
    </w:rPr>
  </w:style>
  <w:style w:type="paragraph" w:styleId="Pieddepage">
    <w:name w:val="footer"/>
    <w:basedOn w:val="Normal"/>
    <w:link w:val="PieddepageCar"/>
    <w:uiPriority w:val="99"/>
    <w:unhideWhenUsed/>
    <w:rsid w:val="00AC4393"/>
    <w:pPr>
      <w:tabs>
        <w:tab w:val="center" w:pos="4320"/>
        <w:tab w:val="right" w:pos="8640"/>
      </w:tabs>
      <w:spacing w:after="0" w:line="240" w:lineRule="auto"/>
    </w:pPr>
    <w:rPr>
      <w:rFonts w:eastAsiaTheme="minorHAnsi"/>
      <w:lang w:val="en-CA" w:eastAsia="en-US"/>
    </w:rPr>
  </w:style>
  <w:style w:type="character" w:customStyle="1" w:styleId="PieddepageCar">
    <w:name w:val="Pied de page Car"/>
    <w:basedOn w:val="Policepardfaut"/>
    <w:link w:val="Pieddepage"/>
    <w:uiPriority w:val="99"/>
    <w:rsid w:val="00AC4393"/>
    <w:rPr>
      <w:rFonts w:eastAsiaTheme="minorHAnsi"/>
      <w:lang w:val="en-CA" w:eastAsia="en-US"/>
    </w:rPr>
  </w:style>
  <w:style w:type="table" w:styleId="Grilledutableau">
    <w:name w:val="Table Grid"/>
    <w:basedOn w:val="TableauNormal"/>
    <w:uiPriority w:val="39"/>
    <w:rsid w:val="00AC439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4050">
      <w:bodyDiv w:val="1"/>
      <w:marLeft w:val="0"/>
      <w:marRight w:val="0"/>
      <w:marTop w:val="0"/>
      <w:marBottom w:val="0"/>
      <w:divBdr>
        <w:top w:val="none" w:sz="0" w:space="0" w:color="auto"/>
        <w:left w:val="none" w:sz="0" w:space="0" w:color="auto"/>
        <w:bottom w:val="none" w:sz="0" w:space="0" w:color="auto"/>
        <w:right w:val="none" w:sz="0" w:space="0" w:color="auto"/>
      </w:divBdr>
    </w:div>
    <w:div w:id="432282149">
      <w:bodyDiv w:val="1"/>
      <w:marLeft w:val="0"/>
      <w:marRight w:val="0"/>
      <w:marTop w:val="0"/>
      <w:marBottom w:val="0"/>
      <w:divBdr>
        <w:top w:val="none" w:sz="0" w:space="0" w:color="auto"/>
        <w:left w:val="none" w:sz="0" w:space="0" w:color="auto"/>
        <w:bottom w:val="none" w:sz="0" w:space="0" w:color="auto"/>
        <w:right w:val="none" w:sz="0" w:space="0" w:color="auto"/>
      </w:divBdr>
    </w:div>
    <w:div w:id="623193871">
      <w:bodyDiv w:val="1"/>
      <w:marLeft w:val="0"/>
      <w:marRight w:val="0"/>
      <w:marTop w:val="0"/>
      <w:marBottom w:val="0"/>
      <w:divBdr>
        <w:top w:val="none" w:sz="0" w:space="0" w:color="auto"/>
        <w:left w:val="none" w:sz="0" w:space="0" w:color="auto"/>
        <w:bottom w:val="none" w:sz="0" w:space="0" w:color="auto"/>
        <w:right w:val="none" w:sz="0" w:space="0" w:color="auto"/>
      </w:divBdr>
    </w:div>
    <w:div w:id="909192612">
      <w:bodyDiv w:val="1"/>
      <w:marLeft w:val="0"/>
      <w:marRight w:val="0"/>
      <w:marTop w:val="0"/>
      <w:marBottom w:val="0"/>
      <w:divBdr>
        <w:top w:val="none" w:sz="0" w:space="0" w:color="auto"/>
        <w:left w:val="none" w:sz="0" w:space="0" w:color="auto"/>
        <w:bottom w:val="none" w:sz="0" w:space="0" w:color="auto"/>
        <w:right w:val="none" w:sz="0" w:space="0" w:color="auto"/>
      </w:divBdr>
    </w:div>
    <w:div w:id="1553808650">
      <w:bodyDiv w:val="1"/>
      <w:marLeft w:val="0"/>
      <w:marRight w:val="0"/>
      <w:marTop w:val="0"/>
      <w:marBottom w:val="0"/>
      <w:divBdr>
        <w:top w:val="none" w:sz="0" w:space="0" w:color="auto"/>
        <w:left w:val="none" w:sz="0" w:space="0" w:color="auto"/>
        <w:bottom w:val="none" w:sz="0" w:space="0" w:color="auto"/>
        <w:right w:val="none" w:sz="0" w:space="0" w:color="auto"/>
      </w:divBdr>
    </w:div>
    <w:div w:id="1965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1180</Words>
  <Characters>6491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malek ben-abdellatif</cp:lastModifiedBy>
  <cp:revision>12</cp:revision>
  <dcterms:created xsi:type="dcterms:W3CDTF">2017-07-31T20:17:00Z</dcterms:created>
  <dcterms:modified xsi:type="dcterms:W3CDTF">2017-09-08T15:47:00Z</dcterms:modified>
</cp:coreProperties>
</file>