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jc w:val="center"/>
      </w:pPr>
      <w:r>
        <w:rPr>
          <w:b/>
          <w:bCs/>
          <w:color w:val="0B2545"/>
          <w:sz w:val="52"/>
          <w:szCs w:val="52"/>
        </w:rPr>
        <w:t xml:space="preserve">ICU EDGE GATEWAY</w:t>
      </w:r>
    </w:p>
    <w:p>
      <w:pPr>
        <w:spacing w:after="500"/>
        <w:jc w:val="center"/>
      </w:pPr>
      <w:r>
        <w:rPr>
          <w:i/>
          <w:iCs/>
          <w:color w:val="13315C"/>
          <w:sz w:val="30"/>
          <w:szCs w:val="30"/>
        </w:rPr>
        <w:t xml:space="preserve">B2B IP Licensing &amp; Pricing Framework</w:t>
      </w:r>
    </w:p>
    <w:p>
      <w:pPr>
        <w:spacing w:after="40"/>
        <w:jc w:val="center"/>
      </w:pPr>
      <w:r>
        <w:rPr>
          <w:color w:val="5A5A5A"/>
          <w:sz w:val="20"/>
          <w:szCs w:val="20"/>
        </w:rPr>
        <w:t xml:space="preserve">Prepared by: Eng. Housam Ashraf — Biomedical Engineer &amp; HealthTech Solutions Architect</w:t>
      </w:r>
    </w:p>
    <w:p>
      <w:pPr>
        <w:spacing w:after="40"/>
        <w:jc w:val="center"/>
      </w:pPr>
      <w:r>
        <w:rPr>
          <w:color w:val="5A5A5A"/>
          <w:sz w:val="18"/>
          <w:szCs w:val="18"/>
        </w:rPr>
        <w:t xml:space="preserve">housam@[your-domain]  ·  linkedin.com/in/housam-abouelreish-805352226</w:t>
      </w:r>
    </w:p>
    <w:p>
      <w:pPr>
        <w:spacing w:after="40"/>
        <w:jc w:val="center"/>
      </w:pPr>
      <w:r>
        <w:rPr>
          <w:color w:val="5A5A5A"/>
          <w:sz w:val="18"/>
          <w:szCs w:val="18"/>
        </w:rPr>
        <w:t xml:space="preserve">Asset: ICU Edge Gateway — HL7 v2.5.1/MLLP · FHIR R4 · NEWS2 Clinical Decision Support · IEC 62304-disciplined architecture</w:t>
      </w:r>
    </w:p>
    <w:p>
      <w:pPr>
        <w:spacing w:after="700"/>
        <w:jc w:val="center"/>
      </w:pPr>
      <w:r>
        <w:rPr>
          <w:i/>
          <w:iCs/>
          <w:color w:val="5A5A5A"/>
          <w:sz w:val="16"/>
          <w:szCs w:val="16"/>
        </w:rPr>
        <w:t xml:space="preserve">Confidential — prepared for a specific prospective counterparty. Not for redistribution.</w:t>
      </w:r>
    </w:p>
    <w:p>
      <w:pPr>
        <w:spacing w:after="40"/>
        <w:jc w:val="center"/>
      </w:pPr>
      <w:r>
        <w:rPr>
          <w:color w:val="5A5A5A"/>
          <w:sz w:val="16"/>
          <w:szCs w:val="16"/>
        </w:rPr>
        <w:t xml:space="preserve">This framework is a negotiation starting point, not a binding offer or a valuation opinion.</w:t>
      </w:r>
    </w:p>
    <w:p>
      <w:pPr>
        <w:jc w:val="center"/>
      </w:pPr>
      <w:r>
        <w:rPr>
          <w:color w:val="5A5A5A"/>
          <w:sz w:val="16"/>
          <w:szCs w:val="16"/>
        </w:rPr>
        <w:t xml:space="preserve">It is not legal, tax, or financial advice. See Section 7.</w:t>
      </w:r>
    </w:p>
    <w:p>
      <w:r>
        <w:br w:type="page"/>
      </w:r>
    </w:p>
    <w:p>
      <w:pPr>
        <w:pStyle w:val="Heading1"/>
        <w:pBdr>
          <w:bottom w:val="single" w:color="0B2545" w:sz="8" w:space="4"/>
        </w:pBdr>
        <w:spacing w:after="140" w:before="320"/>
      </w:pPr>
      <w:r>
        <w:rPr>
          <w:b/>
          <w:bCs/>
          <w:color w:val="0B2545"/>
          <w:sz w:val="27"/>
          <w:szCs w:val="27"/>
        </w:rPr>
        <w:t xml:space="preserve">1. Purpose &amp; How to Read This Document</w:t>
      </w:r>
    </w:p>
    <w:p>
      <w:pPr>
        <w:spacing w:after="120" w:before="0" w:line="300"/>
        <w:jc w:val="left"/>
      </w:pPr>
      <w:r>
        <w:rPr>
          <w:sz w:val="20"/>
          <w:szCs w:val="20"/>
        </w:rPr>
        <w:t xml:space="preserve">This framework sets out three licensing/transaction structures for the ICU Edge Gateway asset, with indicative pricing anchors for each. It is written for a counterparty's business development, corporate development, or procurement function evaluating the asset for licensing, subscription deployment, or acquisition.</w:t>
      </w:r>
    </w:p>
    <w:p>
      <w:pPr>
        <w:spacing w:after="120" w:before="0" w:line="300"/>
        <w:jc w:val="left"/>
      </w:pPr>
      <w:r>
        <w:rPr>
          <w:sz w:val="20"/>
          <w:szCs w:val="20"/>
        </w:rPr>
        <w:t xml:space="preserve">Every substantive claim below carries an evidence tag, consistent with the discipline applied to the engineering claims sheet for this project:</w:t>
      </w:r>
    </w:p>
    <w:p>
      <w:pPr>
        <w:pStyle w:val="ListParagraph"/>
        <w:numPr>
          <w:ilvl w:val="0"/>
          <w:numId w:val="2"/>
        </w:numPr>
        <w:spacing w:after="80" w:line="290"/>
      </w:pPr>
      <w:r>
        <w:rPr>
          <w:b w:val="false"/>
          <w:bCs w:val="false"/>
          <w:sz w:val="20"/>
          <w:szCs w:val="20"/>
        </w:rPr>
        <w:t xml:space="preserve">FACT — directly verifiable against the project's evidence trail or a cited external source.</w:t>
      </w:r>
    </w:p>
    <w:p>
      <w:pPr>
        <w:pStyle w:val="ListParagraph"/>
        <w:numPr>
          <w:ilvl w:val="0"/>
          <w:numId w:val="2"/>
        </w:numPr>
        <w:spacing w:after="80" w:line="290"/>
      </w:pPr>
      <w:r>
        <w:rPr>
          <w:b w:val="false"/>
          <w:bCs w:val="false"/>
          <w:sz w:val="20"/>
          <w:szCs w:val="20"/>
        </w:rPr>
        <w:t xml:space="preserve">INFERENCE — a conclusion reasonably derived from known market structure, not itself independently source-verified in this pass.</w:t>
      </w:r>
    </w:p>
    <w:p>
      <w:pPr>
        <w:pStyle w:val="ListParagraph"/>
        <w:numPr>
          <w:ilvl w:val="0"/>
          <w:numId w:val="2"/>
        </w:numPr>
        <w:spacing w:after="80" w:line="290"/>
      </w:pPr>
      <w:r>
        <w:rPr>
          <w:b w:val="false"/>
          <w:bCs w:val="false"/>
          <w:sz w:val="20"/>
          <w:szCs w:val="20"/>
        </w:rPr>
        <w:t xml:space="preserve">ASSUMPTION — a working premise adopted in the absence of information (e.g., because a specific negotiation has not started).</w:t>
      </w:r>
    </w:p>
    <w:p>
      <w:pPr>
        <w:spacing w:after="120" w:before="0" w:line="300"/>
        <w:jc w:val="left"/>
      </w:pPr>
      <w:r>
        <w:rPr>
          <w:i/>
          <w:iCs/>
          <w:color w:val="5A5A5A"/>
          <w:sz w:val="18"/>
          <w:szCs w:val="18"/>
        </w:rPr>
        <w:t xml:space="preserve">No pricing figure in this document should be read as FACT unless explicitly marked so. Deeper source verification (specific comparable-transaction detail) was constrained by a research-tool rate limit during preparation; figures presented as INFERENCE are structurally reasoned anchors for negotiation, not published market data.</w:t>
      </w:r>
    </w:p>
    <w:p>
      <w:pPr>
        <w:pStyle w:val="Heading1"/>
        <w:pBdr>
          <w:bottom w:val="single" w:color="0B2545" w:sz="8" w:space="4"/>
        </w:pBdr>
        <w:spacing w:after="140" w:before="320"/>
      </w:pPr>
      <w:r>
        <w:rPr>
          <w:b/>
          <w:bCs/>
          <w:color w:val="0B2545"/>
          <w:sz w:val="27"/>
          <w:szCs w:val="27"/>
        </w:rPr>
        <w:t xml:space="preserve">2. Asset Summary</w:t>
      </w:r>
    </w:p>
    <w:p>
      <w:pPr>
        <w:spacing w:after="120" w:before="0" w:line="300"/>
        <w:jc w:val="left"/>
      </w:pPr>
      <w:r>
        <w:rPr>
          <w:sz w:val="20"/>
          <w:szCs w:val="20"/>
        </w:rPr>
        <w:t xml:space="preserve">The ICU Edge Gateway is a verified reference implementation of a clinical edge gateway: real-time HL7 v2.5.1 ingestion over MLLP, physiological artifact rejection, deterministic NEWS2 (RCP 2017) clinical risk scoring, and FHIR R4 output. Full capability detail is provided in the accompanying Executive One-Pager; the table below summarizes the evidence base this pricing framework assumes.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5596"/>
      </w:tblGrid>
      <w:tr>
        <w:trPr>
          <w:tblHeader/>
        </w:trPr>
        <w:tc>
          <w:tcPr>
            <w:tcW w:type="dxa" w:w="4052"/>
            <w:shd w:fill="0B2545"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Evidence Point</w:t>
            </w:r>
          </w:p>
        </w:tc>
        <w:tc>
          <w:tcPr>
            <w:tcW w:type="dxa" w:w="5596"/>
            <w:shd w:fill="0B2545"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Verification</w:t>
            </w:r>
          </w:p>
        </w:tc>
      </w:tr>
      <w:tr>
        <w:tc>
          <w:tcPr>
            <w:tcW w:type="dxa" w:w="4052"/>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816 tests / 1 xfailed</w:t>
            </w:r>
          </w:p>
        </w:tc>
        <w:tc>
          <w:tcPr>
            <w:tcW w:type="dxa" w:w="5596"/>
            <w:shd w:fill="FFFFFF" w:color="auto" w:val="clear"/>
            <w:tcMar>
              <w:top w:type="dxa" w:w="100"/>
              <w:left w:type="dxa" w:w="140"/>
              <w:bottom w:type="dxa" w:w="100"/>
              <w:right w:type="dxa" w:w="140"/>
            </w:tcMar>
            <w:vAlign w:val="top"/>
          </w:tcPr>
          <w:p>
            <w:pPr>
              <w:spacing w:after="0" w:before="0" w:line="300"/>
              <w:jc w:val="left"/>
            </w:pPr>
            <w:r>
              <w:rPr>
                <w:sz w:val="18"/>
                <w:szCs w:val="18"/>
              </w:rPr>
              <w:t xml:space="preserve">CI-confirmed, three consecutive runs</w:t>
            </w:r>
          </w:p>
        </w:tc>
      </w:tr>
      <w:tr>
        <w:tc>
          <w:tcPr>
            <w:tcW w:type="dxa" w:w="4052"/>
            <w:shd w:fill="F2F5F8" w:color="auto" w:val="clear"/>
            <w:tcMar>
              <w:top w:type="dxa" w:w="100"/>
              <w:left w:type="dxa" w:w="140"/>
              <w:bottom w:type="dxa" w:w="100"/>
              <w:right w:type="dxa" w:w="140"/>
            </w:tcMar>
            <w:vAlign w:val="top"/>
          </w:tcPr>
          <w:p>
            <w:pPr>
              <w:spacing w:after="0" w:before="0" w:line="300"/>
              <w:jc w:val="left"/>
            </w:pPr>
            <w:r>
              <w:rPr>
                <w:b/>
                <w:bCs/>
                <w:sz w:val="18"/>
                <w:szCs w:val="18"/>
              </w:rPr>
              <w:t xml:space="preserve">94.6% statement coverage</w:t>
            </w:r>
          </w:p>
        </w:tc>
        <w:tc>
          <w:tcPr>
            <w:tcW w:type="dxa" w:w="5596"/>
            <w:shd w:fill="F2F5F8" w:color="auto" w:val="clear"/>
            <w:tcMar>
              <w:top w:type="dxa" w:w="100"/>
              <w:left w:type="dxa" w:w="140"/>
              <w:bottom w:type="dxa" w:w="100"/>
              <w:right w:type="dxa" w:w="140"/>
            </w:tcMar>
            <w:vAlign w:val="top"/>
          </w:tcPr>
          <w:p>
            <w:pPr>
              <w:spacing w:after="0" w:before="0" w:line="300"/>
              <w:jc w:val="left"/>
            </w:pPr>
            <w:r>
              <w:rPr>
                <w:sz w:val="18"/>
                <w:szCs w:val="18"/>
              </w:rPr>
              <w:t xml:space="preserve">CI-measured</w:t>
            </w:r>
          </w:p>
        </w:tc>
      </w:tr>
      <w:tr>
        <w:tc>
          <w:tcPr>
            <w:tcW w:type="dxa" w:w="4052"/>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Zero-regression discipline</w:t>
            </w:r>
          </w:p>
        </w:tc>
        <w:tc>
          <w:tcPr>
            <w:tcW w:type="dxa" w:w="5596"/>
            <w:shd w:fill="FFFFFF" w:color="auto" w:val="clear"/>
            <w:tcMar>
              <w:top w:type="dxa" w:w="100"/>
              <w:left w:type="dxa" w:w="140"/>
              <w:bottom w:type="dxa" w:w="100"/>
              <w:right w:type="dxa" w:w="140"/>
            </w:tcMar>
            <w:vAlign w:val="top"/>
          </w:tcPr>
          <w:p>
            <w:pPr>
              <w:spacing w:after="0" w:before="0" w:line="300"/>
              <w:jc w:val="left"/>
            </w:pPr>
            <w:r>
              <w:rPr>
                <w:sz w:val="18"/>
                <w:szCs w:val="18"/>
              </w:rPr>
              <w:t xml:space="preserve">Held across 6 engineering phases (667→709→744→816)</w:t>
            </w:r>
          </w:p>
        </w:tc>
      </w:tr>
      <w:tr>
        <w:tc>
          <w:tcPr>
            <w:tcW w:type="dxa" w:w="4052"/>
            <w:shd w:fill="F2F5F8" w:color="auto" w:val="clear"/>
            <w:tcMar>
              <w:top w:type="dxa" w:w="100"/>
              <w:left w:type="dxa" w:w="140"/>
              <w:bottom w:type="dxa" w:w="100"/>
              <w:right w:type="dxa" w:w="140"/>
            </w:tcMar>
            <w:vAlign w:val="top"/>
          </w:tcPr>
          <w:p>
            <w:pPr>
              <w:spacing w:after="0" w:before="0" w:line="300"/>
              <w:jc w:val="left"/>
            </w:pPr>
            <w:r>
              <w:rPr>
                <w:b/>
                <w:bCs/>
                <w:sz w:val="18"/>
                <w:szCs w:val="18"/>
              </w:rPr>
              <w:t xml:space="preserve">NEWS2 0→3→6→7→17</w:t>
            </w:r>
          </w:p>
        </w:tc>
        <w:tc>
          <w:tcPr>
            <w:tcW w:type="dxa" w:w="5596"/>
            <w:shd w:fill="F2F5F8" w:color="auto" w:val="clear"/>
            <w:tcMar>
              <w:top w:type="dxa" w:w="100"/>
              <w:left w:type="dxa" w:w="140"/>
              <w:bottom w:type="dxa" w:w="100"/>
              <w:right w:type="dxa" w:w="140"/>
            </w:tcMar>
            <w:vAlign w:val="top"/>
          </w:tcPr>
          <w:p>
            <w:pPr>
              <w:spacing w:after="0" w:before="0" w:line="300"/>
              <w:jc w:val="left"/>
            </w:pPr>
            <w:r>
              <w:rPr>
                <w:sz w:val="18"/>
                <w:szCs w:val="18"/>
              </w:rPr>
              <w:t xml:space="preserve">Sepsis-scenario deterioration trace, observed live</w:t>
            </w:r>
          </w:p>
        </w:tc>
      </w:tr>
      <w:tr>
        <w:tc>
          <w:tcPr>
            <w:tcW w:type="dxa" w:w="4052"/>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SpO₂ Scale 1 vs Scale 2</w:t>
            </w:r>
          </w:p>
        </w:tc>
        <w:tc>
          <w:tcPr>
            <w:tcW w:type="dxa" w:w="5596"/>
            <w:shd w:fill="FFFFFF" w:color="auto" w:val="clear"/>
            <w:tcMar>
              <w:top w:type="dxa" w:w="100"/>
              <w:left w:type="dxa" w:w="140"/>
              <w:bottom w:type="dxa" w:w="100"/>
              <w:right w:type="dxa" w:w="140"/>
            </w:tcMar>
            <w:vAlign w:val="top"/>
          </w:tcPr>
          <w:p>
            <w:pPr>
              <w:spacing w:after="0" w:before="0" w:line="300"/>
              <w:jc w:val="left"/>
            </w:pPr>
            <w:r>
              <w:rPr>
                <w:sz w:val="18"/>
                <w:szCs w:val="18"/>
              </w:rPr>
              <w:t xml:space="preserve">2 LOW vs 5 MEDIUM — 3-point swing, verified live over HTTP</w:t>
            </w:r>
          </w:p>
        </w:tc>
      </w:tr>
      <w:tr>
        <w:tc>
          <w:tcPr>
            <w:tcW w:type="dxa" w:w="4052"/>
            <w:shd w:fill="F2F5F8" w:color="auto" w:val="clear"/>
            <w:tcMar>
              <w:top w:type="dxa" w:w="100"/>
              <w:left w:type="dxa" w:w="140"/>
              <w:bottom w:type="dxa" w:w="100"/>
              <w:right w:type="dxa" w:w="140"/>
            </w:tcMar>
            <w:vAlign w:val="top"/>
          </w:tcPr>
          <w:p>
            <w:pPr>
              <w:spacing w:after="0" w:before="0" w:line="300"/>
              <w:jc w:val="left"/>
            </w:pPr>
            <w:r>
              <w:rPr>
                <w:b/>
                <w:bCs/>
                <w:sz w:val="18"/>
                <w:szCs w:val="18"/>
              </w:rPr>
              <w:t xml:space="preserve">HL7 v2.5.1 / MLLP</w:t>
            </w:r>
          </w:p>
        </w:tc>
        <w:tc>
          <w:tcPr>
            <w:tcW w:type="dxa" w:w="5596"/>
            <w:shd w:fill="F2F5F8" w:color="auto" w:val="clear"/>
            <w:tcMar>
              <w:top w:type="dxa" w:w="100"/>
              <w:left w:type="dxa" w:w="140"/>
              <w:bottom w:type="dxa" w:w="100"/>
              <w:right w:type="dxa" w:w="140"/>
            </w:tcMar>
            <w:vAlign w:val="top"/>
          </w:tcPr>
          <w:p>
            <w:pPr>
              <w:spacing w:after="0" w:before="0" w:line="300"/>
              <w:jc w:val="left"/>
            </w:pPr>
            <w:r>
              <w:rPr>
                <w:sz w:val="18"/>
                <w:szCs w:val="18"/>
              </w:rPr>
              <w:t xml:space="preserve">Live-driven with framed messages; 3-vendor concurrent normalization observed</w:t>
            </w:r>
          </w:p>
        </w:tc>
      </w:tr>
      <w:tr>
        <w:tc>
          <w:tcPr>
            <w:tcW w:type="dxa" w:w="4052"/>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FHIR R4 Bundle/Observation</w:t>
            </w:r>
          </w:p>
        </w:tc>
        <w:tc>
          <w:tcPr>
            <w:tcW w:type="dxa" w:w="5596"/>
            <w:shd w:fill="FFFFFF" w:color="auto" w:val="clear"/>
            <w:tcMar>
              <w:top w:type="dxa" w:w="100"/>
              <w:left w:type="dxa" w:w="140"/>
              <w:bottom w:type="dxa" w:w="100"/>
              <w:right w:type="dxa" w:w="140"/>
            </w:tcMar>
            <w:vAlign w:val="top"/>
          </w:tcPr>
          <w:p>
            <w:pPr>
              <w:spacing w:after="0" w:before="0" w:line="300"/>
              <w:jc w:val="left"/>
            </w:pPr>
            <w:r>
              <w:rPr>
                <w:sz w:val="18"/>
                <w:szCs w:val="18"/>
              </w:rPr>
              <w:t xml:space="preserve">Dual LOINC + SNOMED coding, SNOMED CT 1239842005, UCUM units</w:t>
            </w:r>
          </w:p>
        </w:tc>
      </w:tr>
    </w:tbl>
    <w:p>
      <w:pPr>
        <w:spacing w:after="120" w:before="0" w:line="300"/>
        <w:jc w:val="left"/>
      </w:pPr>
      <w:r>
        <w:rPr>
          <w:sz w:val="20"/>
          <w:szCs w:val="20"/>
        </w:rPr>
        <w:t xml:space="preserve"/>
      </w:r>
    </w:p>
    <w:p>
      <w:pPr>
        <w:spacing w:after="60" w:before="0" w:line="300"/>
        <w:jc w:val="left"/>
      </w:pPr>
      <w:r>
        <w:rPr>
          <w:b/>
          <w:bCs/>
          <w:sz w:val="20"/>
          <w:szCs w:val="20"/>
        </w:rPr>
        <w:t xml:space="preserve">Regulatory posture (verbatim, as approved for external use):</w:t>
      </w:r>
    </w:p>
    <w:p>
      <w:pPr>
        <w:pBdr>
          <w:left w:val="single" w:color="B0413E" w:sz="24" w:space="8"/>
        </w:pBdr>
        <w:shd w:fill="F2F5F8" w:val="clear"/>
        <w:spacing w:after="160" w:line="300"/>
        <w:ind w:left="200"/>
      </w:pPr>
      <w:r>
        <w:rPr>
          <w:i/>
          <w:iCs/>
          <w:sz w:val="18"/>
          <w:szCs w:val="18"/>
        </w:rPr>
        <w:t xml:space="preserve">Engineered under IEC 62304 Class B software life-cycle practices with ISO 14971 risk analysis applied to each hazard, and designed against the non-device clinical decision support criteria in FD&amp;C Act §520(o)(1)(E) as interpreted by FDA's Clinical Decision Support Software guidance. Output is advisory only; the software triggers no automated treatment. These are the developer's own determinations and have not been reviewed by FDA or any notified body.</w:t>
      </w:r>
    </w:p>
    <w:p>
      <w:pPr>
        <w:spacing w:after="120" w:line="300"/>
      </w:pPr>
      <w:r>
        <w:rPr>
          <w:b/>
          <w:bCs/>
          <w:color w:val="1E6B3C"/>
          <w:sz w:val="16"/>
          <w:szCs w:val="16"/>
        </w:rPr>
        <w:t xml:space="preserve">[FACT] </w:t>
      </w:r>
      <w:r>
        <w:rPr>
          <w:sz w:val="20"/>
          <w:szCs w:val="20"/>
        </w:rPr>
        <w:t xml:space="preserve">No real patient data has been processed; no FDA clearance, Health Canada licence, SOC 2, or HITRUST certification exists; no production deployment has occurred. Every structure below is priced and structured on that basis, not on a false premise of regulatory clearance.</w:t>
      </w:r>
    </w:p>
    <w:p>
      <w:pPr>
        <w:pStyle w:val="Heading1"/>
        <w:pBdr>
          <w:bottom w:val="single" w:color="0B2545" w:sz="8" w:space="4"/>
        </w:pBdr>
        <w:spacing w:after="140" w:before="320"/>
      </w:pPr>
      <w:r>
        <w:rPr>
          <w:b/>
          <w:bCs/>
          <w:color w:val="0B2545"/>
          <w:sz w:val="27"/>
          <w:szCs w:val="27"/>
        </w:rPr>
        <w:t xml:space="preserve">3. Engagement Models — Overview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23"/>
        <w:gridCol w:w="3859"/>
        <w:gridCol w:w="3666"/>
      </w:tblGrid>
      <w:tr>
        <w:trPr>
          <w:tblHeader/>
        </w:trPr>
        <w:tc>
          <w:tcPr>
            <w:tcW w:type="dxa" w:w="2123"/>
            <w:shd w:fill="0B2545"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Model</w:t>
            </w:r>
          </w:p>
        </w:tc>
        <w:tc>
          <w:tcPr>
            <w:tcW w:type="dxa" w:w="3859"/>
            <w:shd w:fill="0B2545"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Best fit for</w:t>
            </w:r>
          </w:p>
        </w:tc>
        <w:tc>
          <w:tcPr>
            <w:tcW w:type="dxa" w:w="3666"/>
            <w:shd w:fill="0B2545"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Near-term realism</w:t>
            </w:r>
          </w:p>
        </w:tc>
      </w:tr>
      <w:tr>
        <w:tc>
          <w:tcPr>
            <w:tcW w:type="dxa" w:w="2123"/>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A. IP / Source-Code Buyout</w:t>
            </w:r>
          </w:p>
        </w:tc>
        <w:tc>
          <w:tcPr>
            <w:tcW w:type="dxa" w:w="3859"/>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An EMR integrator, monitoring OEM, or clinical-analytics vendor that already holds compliance infrastructure and wants to absorb the pipeline outright.</w:t>
            </w:r>
          </w:p>
        </w:tc>
        <w:tc>
          <w:tcPr>
            <w:tcW w:type="dxa" w:w="3666"/>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Highest — matches current stage (pre-revenue, pre-entity, reference implementation).</w:t>
            </w:r>
          </w:p>
        </w:tc>
      </w:tr>
      <w:tr>
        <w:tc>
          <w:tcPr>
            <w:tcW w:type="dxa" w:w="2123"/>
            <w:shd w:fill="F2F5F8" w:color="auto" w:val="clear"/>
            <w:tcMar>
              <w:top w:type="dxa" w:w="100"/>
              <w:left w:type="dxa" w:w="140"/>
              <w:bottom w:type="dxa" w:w="100"/>
              <w:right w:type="dxa" w:w="140"/>
            </w:tcMar>
            <w:vAlign w:val="top"/>
          </w:tcPr>
          <w:p>
            <w:pPr>
              <w:spacing w:after="0" w:before="0" w:line="300"/>
              <w:jc w:val="left"/>
            </w:pPr>
            <w:r>
              <w:rPr>
                <w:b/>
                <w:bCs/>
                <w:sz w:val="18"/>
                <w:szCs w:val="18"/>
              </w:rPr>
              <w:t xml:space="preserve">B. Per-Bed / Per-Site Subscription</w:t>
            </w:r>
          </w:p>
        </w:tc>
        <w:tc>
          <w:tcPr>
            <w:tcW w:type="dxa" w:w="3859"/>
            <w:shd w:fill="F2F5F8"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A hospital or health system consuming the gateway directly, or a partner white-labeling it into their own compliant product.</w:t>
            </w:r>
          </w:p>
        </w:tc>
        <w:tc>
          <w:tcPr>
            <w:tcW w:type="dxa" w:w="3666"/>
            <w:shd w:fill="F2F5F8"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Low direct-to-hospital; moderate if sublicensed through an already-compliant partner (see 4.2).</w:t>
            </w:r>
          </w:p>
        </w:tc>
      </w:tr>
      <w:tr>
        <w:tc>
          <w:tcPr>
            <w:tcW w:type="dxa" w:w="2123"/>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C. SLA / Support Tiers</w:t>
            </w:r>
          </w:p>
        </w:tc>
        <w:tc>
          <w:tcPr>
            <w:tcW w:type="dxa" w:w="3859"/>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An add-on to either A or B where ongoing engineering involvement is wanted.</w:t>
            </w:r>
          </w:p>
        </w:tc>
        <w:tc>
          <w:tcPr>
            <w:tcW w:type="dxa" w:w="3666"/>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Realistic only alongside A or B, not standalone.</w:t>
            </w:r>
          </w:p>
        </w:tc>
      </w:tr>
    </w:tbl>
    <w:p>
      <w:pPr>
        <w:spacing w:after="120" w:before="0" w:line="300"/>
        <w:jc w:val="left"/>
      </w:pPr>
      <w:r>
        <w:rPr>
          <w:sz w:val="20"/>
          <w:szCs w:val="20"/>
        </w:rPr>
        <w:t xml:space="preserve"/>
      </w:r>
    </w:p>
    <w:p>
      <w:pPr>
        <w:spacing w:after="120" w:line="300"/>
      </w:pPr>
      <w:r>
        <w:rPr>
          <w:b/>
          <w:bCs/>
          <w:color w:val="8A6D00"/>
          <w:sz w:val="16"/>
          <w:szCs w:val="16"/>
        </w:rPr>
        <w:t xml:space="preserve">[INFERENCE] </w:t>
      </w:r>
      <w:r>
        <w:rPr>
          <w:sz w:val="20"/>
          <w:szCs w:val="20"/>
        </w:rPr>
        <w:t xml:space="preserve">Given no corporate entity, no SOC 2/HITRUST, no GPO relationship, and no clinical validation exist today, Model A (or a Model B sublicense routed through an already-compliant partner) is the realistic near-term path. A direct hospital SaaS subscription (Model B sold straight to a health system) should be treated as a later-stage goal, not the current plan — see Section 6.</w:t>
      </w:r>
    </w:p>
    <w:p>
      <w:pPr>
        <w:pStyle w:val="Heading1"/>
        <w:pBdr>
          <w:bottom w:val="single" w:color="0B2545" w:sz="8" w:space="4"/>
        </w:pBdr>
        <w:spacing w:after="140" w:before="320"/>
      </w:pPr>
      <w:r>
        <w:rPr>
          <w:b/>
          <w:bCs/>
          <w:color w:val="0B2545"/>
          <w:sz w:val="27"/>
          <w:szCs w:val="27"/>
        </w:rPr>
        <w:t xml:space="preserve">4. Model A — IP / Source-Code Buyout</w:t>
      </w:r>
    </w:p>
    <w:p>
      <w:pPr>
        <w:pStyle w:val="Heading2"/>
        <w:spacing w:after="100" w:before="220"/>
      </w:pPr>
      <w:r>
        <w:rPr>
          <w:b/>
          <w:bCs/>
          <w:color w:val="13315C"/>
          <w:sz w:val="23"/>
          <w:szCs w:val="23"/>
        </w:rPr>
        <w:t xml:space="preserve">4.1 Structure</w:t>
      </w:r>
    </w:p>
    <w:p>
      <w:pPr>
        <w:spacing w:after="120" w:before="0" w:line="300"/>
        <w:jc w:val="left"/>
      </w:pPr>
      <w:r>
        <w:rPr>
          <w:sz w:val="20"/>
          <w:szCs w:val="20"/>
        </w:rPr>
        <w:t xml:space="preserve">An outright transfer of the asset via Asset Purchase Agreement (APA) — the standard vehicle for a single-asset IP transaction where no operating company, employees, or liabilities are being assumed. Scope typically assigned:</w:t>
      </w:r>
    </w:p>
    <w:p>
      <w:pPr>
        <w:pStyle w:val="ListParagraph"/>
        <w:numPr>
          <w:ilvl w:val="0"/>
          <w:numId w:val="2"/>
        </w:numPr>
        <w:spacing w:after="80" w:line="290"/>
      </w:pPr>
      <w:r>
        <w:rPr>
          <w:b w:val="false"/>
          <w:bCs w:val="false"/>
          <w:sz w:val="20"/>
          <w:szCs w:val="20"/>
        </w:rPr>
        <w:t xml:space="preserve">Full source code, test suite, and CI/evidence artifacts (the 816-test suite and its history).</w:t>
      </w:r>
    </w:p>
    <w:p>
      <w:pPr>
        <w:pStyle w:val="ListParagraph"/>
        <w:numPr>
          <w:ilvl w:val="0"/>
          <w:numId w:val="2"/>
        </w:numPr>
        <w:spacing w:after="80" w:line="290"/>
      </w:pPr>
      <w:r>
        <w:rPr>
          <w:b w:val="false"/>
          <w:bCs w:val="false"/>
          <w:sz w:val="20"/>
          <w:szCs w:val="20"/>
        </w:rPr>
        <w:t xml:space="preserve">Technical documentation, architecture description, and the verified claims sheet.</w:t>
      </w:r>
    </w:p>
    <w:p>
      <w:pPr>
        <w:pStyle w:val="ListParagraph"/>
        <w:numPr>
          <w:ilvl w:val="0"/>
          <w:numId w:val="2"/>
        </w:numPr>
        <w:spacing w:after="80" w:line="290"/>
      </w:pPr>
      <w:r>
        <w:rPr>
          <w:b w:val="false"/>
          <w:bCs w:val="false"/>
          <w:sz w:val="20"/>
          <w:szCs w:val="20"/>
        </w:rPr>
        <w:t xml:space="preserve">Any trademarks or trade names actually in use (none currently registered — to confirm before signing).</w:t>
      </w:r>
    </w:p>
    <w:p>
      <w:pPr>
        <w:pStyle w:val="ListParagraph"/>
        <w:numPr>
          <w:ilvl w:val="0"/>
          <w:numId w:val="2"/>
        </w:numPr>
        <w:spacing w:after="80" w:line="290"/>
      </w:pPr>
      <w:r>
        <w:rPr>
          <w:b w:val="false"/>
          <w:bCs w:val="false"/>
          <w:sz w:val="20"/>
          <w:szCs w:val="20"/>
        </w:rPr>
        <w:t xml:space="preserve">Assignment of moral/economic rights to the extent the founder's home jurisdiction allows — an item for counsel to confirm, not assumed here.</w:t>
      </w:r>
    </w:p>
    <w:p>
      <w:pPr>
        <w:pStyle w:val="Heading2"/>
        <w:spacing w:after="100" w:before="220"/>
      </w:pPr>
      <w:r>
        <w:rPr>
          <w:b/>
          <w:bCs/>
          <w:color w:val="13315C"/>
          <w:sz w:val="23"/>
          <w:szCs w:val="23"/>
        </w:rPr>
        <w:t xml:space="preserve">4.2 Deal Shape</w:t>
      </w:r>
    </w:p>
    <w:p>
      <w:pPr>
        <w:spacing w:after="120" w:line="300"/>
      </w:pPr>
      <w:r>
        <w:rPr>
          <w:b/>
          <w:bCs/>
          <w:color w:val="8A6D00"/>
          <w:sz w:val="16"/>
          <w:szCs w:val="16"/>
        </w:rPr>
        <w:t xml:space="preserve">[INFERENCE] </w:t>
      </w:r>
      <w:r>
        <w:rPr>
          <w:sz w:val="20"/>
          <w:szCs w:val="20"/>
        </w:rPr>
        <w:t xml:space="preserve">Early-stage technical IP acquisitions in digital health commonly combine a lump-sum payment at close with an earn-out tied to buyer-side milestones (e.g., first paying customer, FDA clearance achieved, or successful integration into the buyer's platform within 12–18 months). This is a common structure in comparable technology-asset deals generally; it is not confirmed against a specific closed transaction in this market segment for this pass.</w:t>
      </w:r>
    </w:p>
    <w:p>
      <w:pPr>
        <w:pStyle w:val="Heading2"/>
        <w:spacing w:after="100" w:before="220"/>
      </w:pPr>
      <w:r>
        <w:rPr>
          <w:b/>
          <w:bCs/>
          <w:color w:val="13315C"/>
          <w:sz w:val="23"/>
          <w:szCs w:val="23"/>
        </w:rPr>
        <w:t xml:space="preserve">4.3 Indicative Pricing Anchor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701"/>
        <w:gridCol w:w="2316"/>
        <w:gridCol w:w="4631"/>
      </w:tblGrid>
      <w:tr>
        <w:trPr>
          <w:tblHeader/>
        </w:trPr>
        <w:tc>
          <w:tcPr>
            <w:tcW w:type="dxa" w:w="2701"/>
            <w:shd w:fill="13315C"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Component</w:t>
            </w:r>
          </w:p>
        </w:tc>
        <w:tc>
          <w:tcPr>
            <w:tcW w:type="dxa" w:w="2316"/>
            <w:shd w:fill="13315C"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Range</w:t>
            </w:r>
          </w:p>
        </w:tc>
        <w:tc>
          <w:tcPr>
            <w:tcW w:type="dxa" w:w="4631"/>
            <w:shd w:fill="13315C"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Basis</w:t>
            </w:r>
          </w:p>
        </w:tc>
      </w:tr>
      <w:tr>
        <w:tc>
          <w:tcPr>
            <w:tcW w:type="dxa" w:w="2701"/>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Lump sum at close</w:t>
            </w:r>
          </w:p>
        </w:tc>
        <w:tc>
          <w:tcPr>
            <w:tcW w:type="dxa" w:w="2316"/>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$120,000 – $450,000</w:t>
            </w:r>
          </w:p>
        </w:tc>
        <w:tc>
          <w:tcPr>
            <w:tcW w:type="dxa" w:w="4631"/>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ASSUMPTION — structural estimate for a pre-revenue, pre-clinical-validation, single-founder reference implementation with 816-test evidentiary depth. Real figure depends entirely on buyer's build-vs-buy cost comparison and strategic urgency.</w:t>
            </w:r>
          </w:p>
        </w:tc>
      </w:tr>
      <w:tr>
        <w:tc>
          <w:tcPr>
            <w:tcW w:type="dxa" w:w="2701"/>
            <w:shd w:fill="F2F5F8" w:color="auto" w:val="clear"/>
            <w:tcMar>
              <w:top w:type="dxa" w:w="100"/>
              <w:left w:type="dxa" w:w="140"/>
              <w:bottom w:type="dxa" w:w="100"/>
              <w:right w:type="dxa" w:w="140"/>
            </w:tcMar>
            <w:vAlign w:val="top"/>
          </w:tcPr>
          <w:p>
            <w:pPr>
              <w:spacing w:after="0" w:before="0" w:line="300"/>
              <w:jc w:val="left"/>
            </w:pPr>
            <w:r>
              <w:rPr>
                <w:b/>
                <w:bCs/>
                <w:sz w:val="18"/>
                <w:szCs w:val="18"/>
              </w:rPr>
              <w:t xml:space="preserve">Milestone earn-out (optional)</w:t>
            </w:r>
          </w:p>
        </w:tc>
        <w:tc>
          <w:tcPr>
            <w:tcW w:type="dxa" w:w="2316"/>
            <w:shd w:fill="F2F5F8"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0% – 100% of lump sum, staged</w:t>
            </w:r>
          </w:p>
        </w:tc>
        <w:tc>
          <w:tcPr>
            <w:tcW w:type="dxa" w:w="4631"/>
            <w:shd w:fill="F2F5F8"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ASSUMPTION — typically tied to integration completion, first customer, or regulatory milestone the buyer controls.</w:t>
            </w:r>
          </w:p>
        </w:tc>
      </w:tr>
      <w:tr>
        <w:tc>
          <w:tcPr>
            <w:tcW w:type="dxa" w:w="2701"/>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Founder transition support</w:t>
            </w:r>
          </w:p>
        </w:tc>
        <w:tc>
          <w:tcPr>
            <w:tcW w:type="dxa" w:w="2316"/>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$0 – $15,000/month, 3–6 months</w:t>
            </w:r>
          </w:p>
        </w:tc>
        <w:tc>
          <w:tcPr>
            <w:tcW w:type="dxa" w:w="4631"/>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INFERENCE — standard practice to retain the original engineer for knowledge transfer post-close; priced as a short consulting engagement, not equity or employment.</w:t>
            </w:r>
          </w:p>
        </w:tc>
      </w:tr>
    </w:tbl>
    <w:p>
      <w:pPr>
        <w:spacing w:after="120" w:before="0" w:line="300"/>
        <w:jc w:val="left"/>
      </w:pPr>
      <w:r>
        <w:rPr>
          <w:i/>
          <w:iCs/>
          <w:color w:val="5A5A5A"/>
          <w:sz w:val="18"/>
          <w:szCs w:val="18"/>
        </w:rPr>
        <w:t xml:space="preserve">These figures are a discussion anchor, not a valuation. A qualified M&amp;A or IP valuation advisor should be engaged before any number is put in front of a counterparty in a binding context.</w:t>
      </w:r>
    </w:p>
    <w:p>
      <w:pPr>
        <w:pStyle w:val="Heading1"/>
        <w:pBdr>
          <w:bottom w:val="single" w:color="0B2545" w:sz="8" w:space="4"/>
        </w:pBdr>
        <w:spacing w:after="140" w:before="320"/>
      </w:pPr>
      <w:r>
        <w:rPr>
          <w:b/>
          <w:bCs/>
          <w:color w:val="0B2545"/>
          <w:sz w:val="27"/>
          <w:szCs w:val="27"/>
        </w:rPr>
        <w:t xml:space="preserve">5. Model B — Per-Bed / Per-Site Annual Subscription License</w:t>
      </w:r>
    </w:p>
    <w:p>
      <w:pPr>
        <w:pStyle w:val="Heading2"/>
        <w:spacing w:after="100" w:before="220"/>
      </w:pPr>
      <w:r>
        <w:rPr>
          <w:b/>
          <w:bCs/>
          <w:color w:val="13315C"/>
          <w:sz w:val="23"/>
          <w:szCs w:val="23"/>
        </w:rPr>
        <w:t xml:space="preserve">5.1 Structure</w:t>
      </w:r>
    </w:p>
    <w:p>
      <w:pPr>
        <w:spacing w:after="120" w:before="0" w:line="300"/>
        <w:jc w:val="left"/>
      </w:pPr>
      <w:r>
        <w:rPr>
          <w:sz w:val="20"/>
          <w:szCs w:val="20"/>
        </w:rPr>
        <w:t xml:space="preserve">A recurring license fee for running the gateway against a defined number of licensed ICU beds or a defined site/facility count. The licensee — not the licensor — holds regulatory responsibility for how the software is deployed and represented to end users, unless the agreement states otherwise. This must be explicit in the license agreement, consistent with the advisory-only, non-device positioning in Section 2.</w:t>
      </w:r>
    </w:p>
    <w:p>
      <w:pPr>
        <w:pStyle w:val="Heading2"/>
        <w:spacing w:after="100" w:before="220"/>
      </w:pPr>
      <w:r>
        <w:rPr>
          <w:b/>
          <w:bCs/>
          <w:color w:val="13315C"/>
          <w:sz w:val="23"/>
          <w:szCs w:val="23"/>
        </w:rPr>
        <w:t xml:space="preserve">5.2 Realistic Near-Term Path: Sublicense Through a Compliant Partner</w:t>
      </w:r>
    </w:p>
    <w:p>
      <w:pPr>
        <w:spacing w:after="120" w:line="300"/>
      </w:pPr>
      <w:r>
        <w:rPr>
          <w:b/>
          <w:bCs/>
          <w:color w:val="8A6D00"/>
          <w:sz w:val="16"/>
          <w:szCs w:val="16"/>
        </w:rPr>
        <w:t xml:space="preserve">[INFERENCE] </w:t>
      </w:r>
      <w:r>
        <w:rPr>
          <w:sz w:val="20"/>
          <w:szCs w:val="20"/>
        </w:rPr>
        <w:t xml:space="preserve">Selling this subscription directly to a hospital requires the licensor to already carry SOC 2/HITRUST, cyber-liability insurance, and typically a GPO or reseller relationship — none of which exist today. The realistic near-term version of Model B is a white-label or OEM sublicense into an existing compliant vendor's product, who then re-sells to hospitals under their own compliance stack. Direct-to-hospital subscription is a Section 6 later-stage goal.</w:t>
      </w:r>
    </w:p>
    <w:p>
      <w:pPr>
        <w:pStyle w:val="Heading2"/>
        <w:spacing w:after="100" w:before="220"/>
      </w:pPr>
      <w:r>
        <w:rPr>
          <w:b/>
          <w:bCs/>
          <w:color w:val="13315C"/>
          <w:sz w:val="23"/>
          <w:szCs w:val="23"/>
        </w:rPr>
        <w:t xml:space="preserve">5.3 Indicative Tiers (for the eventual direct or partner-embedded subscription)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16"/>
        <w:gridCol w:w="1930"/>
        <w:gridCol w:w="3087"/>
        <w:gridCol w:w="2316"/>
      </w:tblGrid>
      <w:tr>
        <w:trPr>
          <w:tblHeader/>
        </w:trPr>
        <w:tc>
          <w:tcPr>
            <w:tcW w:type="dxa" w:w="2316"/>
            <w:shd w:fill="13315C"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Tier</w:t>
            </w:r>
          </w:p>
        </w:tc>
        <w:tc>
          <w:tcPr>
            <w:tcW w:type="dxa" w:w="1930"/>
            <w:shd w:fill="13315C"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Bed range</w:t>
            </w:r>
          </w:p>
        </w:tc>
        <w:tc>
          <w:tcPr>
            <w:tcW w:type="dxa" w:w="3087"/>
            <w:shd w:fill="13315C"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Indicative price</w:t>
            </w:r>
          </w:p>
        </w:tc>
        <w:tc>
          <w:tcPr>
            <w:tcW w:type="dxa" w:w="2316"/>
            <w:shd w:fill="13315C"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Basis</w:t>
            </w:r>
          </w:p>
        </w:tc>
      </w:tr>
      <w:tr>
        <w:tc>
          <w:tcPr>
            <w:tcW w:type="dxa" w:w="2316"/>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Pilot / Single Unit</w:t>
            </w:r>
          </w:p>
        </w:tc>
        <w:tc>
          <w:tcPr>
            <w:tcW w:type="dxa" w:w="1930"/>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10–20 beds</w:t>
            </w:r>
          </w:p>
        </w:tc>
        <w:tc>
          <w:tcPr>
            <w:tcW w:type="dxa" w:w="3087"/>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$100 – $180 / bed / month</w:t>
            </w:r>
          </w:p>
        </w:tc>
        <w:tc>
          <w:tcPr>
            <w:tcW w:type="dxa" w:w="2316"/>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ASSUMPTION</w:t>
            </w:r>
          </w:p>
        </w:tc>
      </w:tr>
      <w:tr>
        <w:tc>
          <w:tcPr>
            <w:tcW w:type="dxa" w:w="2316"/>
            <w:shd w:fill="F2F5F8" w:color="auto" w:val="clear"/>
            <w:tcMar>
              <w:top w:type="dxa" w:w="100"/>
              <w:left w:type="dxa" w:w="140"/>
              <w:bottom w:type="dxa" w:w="100"/>
              <w:right w:type="dxa" w:w="140"/>
            </w:tcMar>
            <w:vAlign w:val="top"/>
          </w:tcPr>
          <w:p>
            <w:pPr>
              <w:spacing w:after="0" w:before="0" w:line="300"/>
              <w:jc w:val="left"/>
            </w:pPr>
            <w:r>
              <w:rPr>
                <w:b/>
                <w:bCs/>
                <w:sz w:val="18"/>
                <w:szCs w:val="18"/>
              </w:rPr>
              <w:t xml:space="preserve">Department</w:t>
            </w:r>
          </w:p>
        </w:tc>
        <w:tc>
          <w:tcPr>
            <w:tcW w:type="dxa" w:w="1930"/>
            <w:shd w:fill="F2F5F8"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20–75 beds</w:t>
            </w:r>
          </w:p>
        </w:tc>
        <w:tc>
          <w:tcPr>
            <w:tcW w:type="dxa" w:w="3087"/>
            <w:shd w:fill="F2F5F8"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$70 – $130 / bed / month</w:t>
            </w:r>
          </w:p>
        </w:tc>
        <w:tc>
          <w:tcPr>
            <w:tcW w:type="dxa" w:w="2316"/>
            <w:shd w:fill="F2F5F8"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ASSUMPTION</w:t>
            </w:r>
          </w:p>
        </w:tc>
      </w:tr>
      <w:tr>
        <w:tc>
          <w:tcPr>
            <w:tcW w:type="dxa" w:w="2316"/>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Enterprise / Multi-site</w:t>
            </w:r>
          </w:p>
        </w:tc>
        <w:tc>
          <w:tcPr>
            <w:tcW w:type="dxa" w:w="1930"/>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75+ beds or multi-facility</w:t>
            </w:r>
          </w:p>
        </w:tc>
        <w:tc>
          <w:tcPr>
            <w:tcW w:type="dxa" w:w="3087"/>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$45 – $90 / bed / month</w:t>
            </w:r>
          </w:p>
        </w:tc>
        <w:tc>
          <w:tcPr>
            <w:tcW w:type="dxa" w:w="2316"/>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ASSUMPTION</w:t>
            </w:r>
          </w:p>
        </w:tc>
      </w:tr>
    </w:tbl>
    <w:p>
      <w:pPr>
        <w:spacing w:after="120" w:before="0" w:line="300"/>
        <w:jc w:val="left"/>
      </w:pPr>
      <w:r>
        <w:rPr>
          <w:i/>
          <w:iCs/>
          <w:color w:val="5A5A5A"/>
          <w:sz w:val="18"/>
          <w:szCs w:val="18"/>
        </w:rPr>
        <w:t xml:space="preserve">These per-bed anchors are structurally reasoned from general clinical-software SaaS pricing patterns (declining per-unit price at volume; premium pricing for CDS/alerting relative to generic clinical documentation tools). They are not sourced from a specific comparable's published price list — none was accessible during this research pass — and should be validated against actual buyer conversations before use in a proposal.</w:t>
      </w:r>
    </w:p>
    <w:p>
      <w:pPr>
        <w:pStyle w:val="Heading1"/>
        <w:pBdr>
          <w:bottom w:val="single" w:color="0B2545" w:sz="8" w:space="4"/>
        </w:pBdr>
        <w:spacing w:after="140" w:before="320"/>
      </w:pPr>
      <w:r>
        <w:rPr>
          <w:b/>
          <w:bCs/>
          <w:color w:val="0B2545"/>
          <w:sz w:val="27"/>
          <w:szCs w:val="27"/>
        </w:rPr>
        <w:t xml:space="preserve">6. Model C — SLA &amp; Support Tiers</w:t>
      </w:r>
    </w:p>
    <w:p>
      <w:pPr>
        <w:spacing w:after="120" w:before="0" w:line="300"/>
        <w:jc w:val="left"/>
      </w:pPr>
      <w:r>
        <w:rPr>
          <w:sz w:val="20"/>
          <w:szCs w:val="20"/>
        </w:rPr>
        <w:t xml:space="preserve">Applies as an add-on to either Model A (post-close transition support) or Model B (ongoing subscription support). Structured as three tiers, consistent with common software-maintenance conventions: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37"/>
        <w:gridCol w:w="5210"/>
        <w:gridCol w:w="2701"/>
      </w:tblGrid>
      <w:tr>
        <w:trPr>
          <w:tblHeader/>
        </w:trPr>
        <w:tc>
          <w:tcPr>
            <w:tcW w:type="dxa" w:w="1737"/>
            <w:shd w:fill="13315C"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Tier</w:t>
            </w:r>
          </w:p>
        </w:tc>
        <w:tc>
          <w:tcPr>
            <w:tcW w:type="dxa" w:w="5210"/>
            <w:shd w:fill="13315C"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Includes</w:t>
            </w:r>
          </w:p>
        </w:tc>
        <w:tc>
          <w:tcPr>
            <w:tcW w:type="dxa" w:w="2701"/>
            <w:shd w:fill="13315C" w:color="auto" w:val="clear"/>
            <w:tcMar>
              <w:top w:type="dxa" w:w="100"/>
              <w:left w:type="dxa" w:w="140"/>
              <w:bottom w:type="dxa" w:w="100"/>
              <w:right w:type="dxa" w:w="140"/>
            </w:tcMar>
            <w:vAlign w:val="top"/>
          </w:tcPr>
          <w:p>
            <w:pPr>
              <w:spacing w:after="0" w:before="0" w:line="300"/>
              <w:jc w:val="left"/>
            </w:pPr>
            <w:r>
              <w:rPr>
                <w:b/>
                <w:bCs/>
                <w:color w:val="FFFFFF"/>
                <w:sz w:val="20"/>
                <w:szCs w:val="20"/>
              </w:rPr>
              <w:t xml:space="preserve">Indicative pricing</w:t>
            </w:r>
          </w:p>
        </w:tc>
      </w:tr>
      <w:tr>
        <w:tc>
          <w:tcPr>
            <w:tcW w:type="dxa" w:w="1737"/>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Basic</w:t>
            </w:r>
          </w:p>
        </w:tc>
        <w:tc>
          <w:tcPr>
            <w:tcW w:type="dxa" w:w="5210"/>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Best-effort bug fixes, email support, no response-time commitment</w:t>
            </w:r>
          </w:p>
        </w:tc>
        <w:tc>
          <w:tcPr>
            <w:tcW w:type="dxa" w:w="2701"/>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Included / low-cost add-on</w:t>
            </w:r>
          </w:p>
        </w:tc>
      </w:tr>
      <w:tr>
        <w:tc>
          <w:tcPr>
            <w:tcW w:type="dxa" w:w="1737"/>
            <w:shd w:fill="F2F5F8" w:color="auto" w:val="clear"/>
            <w:tcMar>
              <w:top w:type="dxa" w:w="100"/>
              <w:left w:type="dxa" w:w="140"/>
              <w:bottom w:type="dxa" w:w="100"/>
              <w:right w:type="dxa" w:w="140"/>
            </w:tcMar>
            <w:vAlign w:val="top"/>
          </w:tcPr>
          <w:p>
            <w:pPr>
              <w:spacing w:after="0" w:before="0" w:line="300"/>
              <w:jc w:val="left"/>
            </w:pPr>
            <w:r>
              <w:rPr>
                <w:b/>
                <w:bCs/>
                <w:sz w:val="18"/>
                <w:szCs w:val="18"/>
              </w:rPr>
              <w:t xml:space="preserve">Standard</w:t>
            </w:r>
          </w:p>
        </w:tc>
        <w:tc>
          <w:tcPr>
            <w:tcW w:type="dxa" w:w="5210"/>
            <w:shd w:fill="F2F5F8"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Defined response-time SLA (e.g., 2 business days), quarterly update releases</w:t>
            </w:r>
          </w:p>
        </w:tc>
        <w:tc>
          <w:tcPr>
            <w:tcW w:type="dxa" w:w="2701"/>
            <w:shd w:fill="F2F5F8"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15% – 20% of annual license fee</w:t>
            </w:r>
          </w:p>
        </w:tc>
      </w:tr>
      <w:tr>
        <w:tc>
          <w:tcPr>
            <w:tcW w:type="dxa" w:w="1737"/>
            <w:shd w:fill="FFFFFF" w:color="auto" w:val="clear"/>
            <w:tcMar>
              <w:top w:type="dxa" w:w="100"/>
              <w:left w:type="dxa" w:w="140"/>
              <w:bottom w:type="dxa" w:w="100"/>
              <w:right w:type="dxa" w:w="140"/>
            </w:tcMar>
            <w:vAlign w:val="top"/>
          </w:tcPr>
          <w:p>
            <w:pPr>
              <w:spacing w:after="0" w:before="0" w:line="300"/>
              <w:jc w:val="left"/>
            </w:pPr>
            <w:r>
              <w:rPr>
                <w:b/>
                <w:bCs/>
                <w:sz w:val="18"/>
                <w:szCs w:val="18"/>
              </w:rPr>
              <w:t xml:space="preserve">Premium</w:t>
            </w:r>
          </w:p>
        </w:tc>
        <w:tc>
          <w:tcPr>
            <w:tcW w:type="dxa" w:w="5210"/>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Priority SLA, dedicated engineering hours, roadmap input, co-development rights</w:t>
            </w:r>
          </w:p>
        </w:tc>
        <w:tc>
          <w:tcPr>
            <w:tcW w:type="dxa" w:w="2701"/>
            <w:shd w:fill="FFFFFF" w:color="auto" w:val="clear"/>
            <w:tcMar>
              <w:top w:type="dxa" w:w="100"/>
              <w:left w:type="dxa" w:w="140"/>
              <w:bottom w:type="dxa" w:w="100"/>
              <w:right w:type="dxa" w:w="140"/>
            </w:tcMar>
            <w:vAlign w:val="top"/>
          </w:tcPr>
          <w:p>
            <w:pPr>
              <w:spacing w:after="0" w:before="0" w:line="300"/>
              <w:jc w:val="left"/>
            </w:pPr>
            <w:r>
              <w:rPr>
                <w:b w:val="false"/>
                <w:bCs w:val="false"/>
                <w:sz w:val="18"/>
                <w:szCs w:val="18"/>
              </w:rPr>
              <w:t xml:space="preserve">25% – 35% of annual license fee</w:t>
            </w:r>
          </w:p>
        </w:tc>
      </w:tr>
    </w:tbl>
    <w:p>
      <w:pPr>
        <w:spacing w:after="120" w:line="300"/>
      </w:pPr>
      <w:r>
        <w:rPr>
          <w:b/>
          <w:bCs/>
          <w:color w:val="8A6D00"/>
          <w:sz w:val="16"/>
          <w:szCs w:val="16"/>
        </w:rPr>
        <w:t xml:space="preserve">[INFERENCE] </w:t>
      </w:r>
      <w:r>
        <w:rPr>
          <w:sz w:val="20"/>
          <w:szCs w:val="20"/>
        </w:rPr>
        <w:t xml:space="preserve">The 15–35% of annual license fee band is a widely used general SaaS/enterprise-software maintenance convention, not a figure specific to clinical decision support software or independently verified for this market segment in this pass.</w:t>
      </w:r>
    </w:p>
    <w:p>
      <w:pPr>
        <w:pStyle w:val="Heading1"/>
        <w:pBdr>
          <w:bottom w:val="single" w:color="0B2545" w:sz="8" w:space="4"/>
        </w:pBdr>
        <w:spacing w:after="140" w:before="320"/>
      </w:pPr>
      <w:r>
        <w:rPr>
          <w:b/>
          <w:bCs/>
          <w:color w:val="0B2545"/>
          <w:sz w:val="27"/>
          <w:szCs w:val="27"/>
        </w:rPr>
        <w:t xml:space="preserve">7. Deal Mechanics, Prerequisites &amp; Required Professional Review</w:t>
      </w:r>
    </w:p>
    <w:p>
      <w:pPr>
        <w:pStyle w:val="Heading2"/>
        <w:spacing w:after="100" w:before="220"/>
      </w:pPr>
      <w:r>
        <w:rPr>
          <w:b/>
          <w:bCs/>
          <w:color w:val="13315C"/>
          <w:sz w:val="23"/>
          <w:szCs w:val="23"/>
        </w:rPr>
        <w:t xml:space="preserve">7.1 Entity Formation — Prerequisite, Not Optional</w:t>
      </w:r>
    </w:p>
    <w:p>
      <w:pPr>
        <w:spacing w:after="120" w:line="300"/>
      </w:pPr>
      <w:r>
        <w:rPr>
          <w:b/>
          <w:bCs/>
          <w:color w:val="1E6B3C"/>
          <w:sz w:val="16"/>
          <w:szCs w:val="16"/>
        </w:rPr>
        <w:t xml:space="preserve">[FACT] </w:t>
      </w:r>
      <w:r>
        <w:rPr>
          <w:sz w:val="20"/>
          <w:szCs w:val="20"/>
        </w:rPr>
        <w:t xml:space="preserve">No US enterprise counterparty's accounts-payable or legal function will execute a licensing or acquisition payment to an individual's personal account or a consumer payment rail (Wise, Payoneer). A US entity must exist before a definitive agreement is signed.</w:t>
      </w:r>
    </w:p>
    <w:p>
      <w:pPr>
        <w:pStyle w:val="ListParagraph"/>
        <w:numPr>
          <w:ilvl w:val="0"/>
          <w:numId w:val="2"/>
        </w:numPr>
        <w:spacing w:after="80" w:line="290"/>
      </w:pPr>
      <w:r>
        <w:rPr>
          <w:b w:val="false"/>
          <w:bCs w:val="false"/>
          <w:sz w:val="20"/>
          <w:szCs w:val="20"/>
        </w:rPr>
        <w:t xml:space="preserve">Asset buyout (Model A) heading toward acquisition: a Delaware C-Corp is the conventional default, particularly if any future equity or investor involvement is plausible.</w:t>
      </w:r>
    </w:p>
    <w:p>
      <w:pPr>
        <w:pStyle w:val="ListParagraph"/>
        <w:numPr>
          <w:ilvl w:val="0"/>
          <w:numId w:val="2"/>
        </w:numPr>
        <w:spacing w:after="80" w:line="290"/>
      </w:pPr>
      <w:r>
        <w:rPr>
          <w:b w:val="false"/>
          <w:bCs w:val="false"/>
          <w:sz w:val="20"/>
          <w:szCs w:val="20"/>
        </w:rPr>
        <w:t xml:space="preserve">Pure licensing revenue (Model B) with no acquisition intent: a single-member LLC is simpler and generally adequate.</w:t>
      </w:r>
    </w:p>
    <w:p>
      <w:pPr>
        <w:pStyle w:val="ListParagraph"/>
        <w:numPr>
          <w:ilvl w:val="0"/>
          <w:numId w:val="2"/>
        </w:numPr>
        <w:spacing w:after="80" w:line="290"/>
      </w:pPr>
      <w:r>
        <w:rPr>
          <w:b w:val="false"/>
          <w:bCs w:val="false"/>
          <w:sz w:val="20"/>
          <w:szCs w:val="20"/>
        </w:rPr>
        <w:t xml:space="preserve">Either entity needs an EIN and a US business bank account before it can receive a wire — this step is often the slowest part for a non-resident founder and should be started early, independent of deal timing.</w:t>
      </w:r>
    </w:p>
    <w:p>
      <w:pPr>
        <w:pStyle w:val="Heading2"/>
        <w:spacing w:after="100" w:before="220"/>
      </w:pPr>
      <w:r>
        <w:rPr>
          <w:b/>
          <w:bCs/>
          <w:color w:val="13315C"/>
          <w:sz w:val="23"/>
          <w:szCs w:val="23"/>
        </w:rPr>
        <w:t xml:space="preserve">7.2 Payment Mechanics</w:t>
      </w:r>
    </w:p>
    <w:p>
      <w:pPr>
        <w:spacing w:after="120" w:line="300"/>
      </w:pPr>
      <w:r>
        <w:rPr>
          <w:b/>
          <w:bCs/>
          <w:color w:val="1E6B3C"/>
          <w:sz w:val="16"/>
          <w:szCs w:val="16"/>
        </w:rPr>
        <w:t xml:space="preserve">[FACT] </w:t>
      </w:r>
      <w:r>
        <w:rPr>
          <w:sz w:val="20"/>
          <w:szCs w:val="20"/>
        </w:rPr>
        <w:t xml:space="preserve">A SWIFT wire transfer into the US entity's account, executed under a signed definitive agreement (APA or license agreement), is standard practice for this transaction size and type. The correction relative to earlier planning is the entity in between — not the wire mechanism itself.</w:t>
      </w:r>
    </w:p>
    <w:p>
      <w:pPr>
        <w:pStyle w:val="Heading2"/>
        <w:spacing w:after="100" w:before="220"/>
      </w:pPr>
      <w:r>
        <w:rPr>
          <w:b/>
          <w:bCs/>
          <w:color w:val="13315C"/>
          <w:sz w:val="23"/>
          <w:szCs w:val="23"/>
        </w:rPr>
        <w:t xml:space="preserve">7.3 Cross-Border Tax Treatment</w:t>
      </w:r>
    </w:p>
    <w:p>
      <w:pPr>
        <w:spacing w:after="120" w:before="0" w:line="300"/>
        <w:jc w:val="left"/>
      </w:pPr>
      <w:r>
        <w:rPr>
          <w:b w:val="false"/>
          <w:bCs w:val="false"/>
          <w:sz w:val="20"/>
          <w:szCs w:val="20"/>
        </w:rPr>
        <w:t xml:space="preserve">The tax treatment of licensing royalties or an asset-sale payment flowing from a US entity to a foreign founder (Egypt) depends on entity structure, the US–Egypt tax treaty position, and withholding rules that are outside the scope of this framework and outside what this analysis is qualified to determine. A cross-border tax attorney or accountant should be engaged before any definitive agreement is signed — this is a genuine prerequisite, not a formality.</w:t>
      </w:r>
    </w:p>
    <w:p>
      <w:pPr>
        <w:pStyle w:val="Heading2"/>
        <w:spacing w:after="100" w:before="220"/>
      </w:pPr>
      <w:r>
        <w:rPr>
          <w:b/>
          <w:bCs/>
          <w:color w:val="13315C"/>
          <w:sz w:val="23"/>
          <w:szCs w:val="23"/>
        </w:rPr>
        <w:t xml:space="preserve">7.4 IP Assignment Scope Checklist (Model A)</w:t>
      </w:r>
    </w:p>
    <w:p>
      <w:pPr>
        <w:pStyle w:val="ListParagraph"/>
        <w:numPr>
          <w:ilvl w:val="0"/>
          <w:numId w:val="2"/>
        </w:numPr>
        <w:spacing w:after="80" w:line="290"/>
      </w:pPr>
      <w:r>
        <w:rPr>
          <w:b w:val="false"/>
          <w:bCs w:val="false"/>
          <w:sz w:val="20"/>
          <w:szCs w:val="20"/>
        </w:rPr>
        <w:t xml:space="preserve">Source code repository, full commit history, and CI configuration</w:t>
      </w:r>
    </w:p>
    <w:p>
      <w:pPr>
        <w:pStyle w:val="ListParagraph"/>
        <w:numPr>
          <w:ilvl w:val="0"/>
          <w:numId w:val="2"/>
        </w:numPr>
        <w:spacing w:after="80" w:line="290"/>
      </w:pPr>
      <w:r>
        <w:rPr>
          <w:b w:val="false"/>
          <w:bCs w:val="false"/>
          <w:sz w:val="20"/>
          <w:szCs w:val="20"/>
        </w:rPr>
        <w:t xml:space="preserve">Test suite and evidence artifacts (the 816-test baseline and its documented history)</w:t>
      </w:r>
    </w:p>
    <w:p>
      <w:pPr>
        <w:pStyle w:val="ListParagraph"/>
        <w:numPr>
          <w:ilvl w:val="0"/>
          <w:numId w:val="2"/>
        </w:numPr>
        <w:spacing w:after="80" w:line="290"/>
      </w:pPr>
      <w:r>
        <w:rPr>
          <w:b w:val="false"/>
          <w:bCs w:val="false"/>
          <w:sz w:val="20"/>
          <w:szCs w:val="20"/>
        </w:rPr>
        <w:t xml:space="preserve">Technical documentation, architecture description, and the verified claims sheet</w:t>
      </w:r>
    </w:p>
    <w:p>
      <w:pPr>
        <w:pStyle w:val="ListParagraph"/>
        <w:numPr>
          <w:ilvl w:val="0"/>
          <w:numId w:val="2"/>
        </w:numPr>
        <w:spacing w:after="80" w:line="290"/>
      </w:pPr>
      <w:r>
        <w:rPr>
          <w:b w:val="false"/>
          <w:bCs w:val="false"/>
          <w:sz w:val="20"/>
          <w:szCs w:val="20"/>
        </w:rPr>
        <w:t xml:space="preserve">Any registered marks or domain names in active use (none currently — confirm before signing)</w:t>
      </w:r>
    </w:p>
    <w:p>
      <w:pPr>
        <w:pStyle w:val="ListParagraph"/>
        <w:numPr>
          <w:ilvl w:val="0"/>
          <w:numId w:val="2"/>
        </w:numPr>
        <w:spacing w:after="80" w:line="290"/>
      </w:pPr>
      <w:r>
        <w:rPr>
          <w:b w:val="false"/>
          <w:bCs w:val="false"/>
          <w:sz w:val="20"/>
          <w:szCs w:val="20"/>
        </w:rPr>
        <w:t xml:space="preserve">Explicit carve-out language for any third-party open-source dependencies retained under their own licenses</w:t>
      </w:r>
    </w:p>
    <w:p>
      <w:pPr>
        <w:pStyle w:val="Heading2"/>
        <w:spacing w:after="100" w:before="220"/>
      </w:pPr>
      <w:r>
        <w:rPr>
          <w:b/>
          <w:bCs/>
          <w:color w:val="13315C"/>
          <w:sz w:val="23"/>
          <w:szCs w:val="23"/>
        </w:rPr>
        <w:t xml:space="preserve">7.5 This Is Not Legal or Financial Advice</w:t>
      </w:r>
    </w:p>
    <w:p>
      <w:pPr>
        <w:spacing w:after="120" w:before="0" w:line="300"/>
        <w:jc w:val="left"/>
      </w:pPr>
      <w:r>
        <w:rPr>
          <w:i/>
          <w:iCs/>
          <w:sz w:val="20"/>
          <w:szCs w:val="20"/>
        </w:rPr>
        <w:t xml:space="preserve">This document is a negotiation and planning framework prepared by the founder for internal use and counterparty discussion. It does not substitute for advice from a qualified M&amp;A attorney, IP counsel, or tax advisor, all of whom should review any structure or figure here before it becomes part of a binding agreement.</w:t>
      </w:r>
    </w:p>
    <w:p>
      <w:pPr>
        <w:pStyle w:val="Heading1"/>
        <w:pBdr>
          <w:bottom w:val="single" w:color="0B2545" w:sz="8" w:space="4"/>
        </w:pBdr>
        <w:spacing w:after="140" w:before="320"/>
      </w:pPr>
      <w:r>
        <w:rPr>
          <w:b/>
          <w:bCs/>
          <w:color w:val="0B2545"/>
          <w:sz w:val="27"/>
          <w:szCs w:val="27"/>
        </w:rPr>
        <w:t xml:space="preserve">8. Recommended Sequencing Given Current Stage</w:t>
      </w:r>
    </w:p>
    <w:p>
      <w:pPr>
        <w:pStyle w:val="ListParagraph"/>
        <w:numPr>
          <w:ilvl w:val="0"/>
          <w:numId w:val="2"/>
        </w:numPr>
        <w:spacing w:after="80" w:line="290"/>
      </w:pPr>
      <w:r>
        <w:rPr>
          <w:b w:val="false"/>
          <w:bCs w:val="false"/>
          <w:sz w:val="20"/>
          <w:szCs w:val="20"/>
        </w:rPr>
        <w:t xml:space="preserve">Lead with Model A (IP buyout) or a Model B sublicense to an already-compliant partner — both match the current pre-entity, pre-clinical-validation, pre-revenue stage.</w:t>
      </w:r>
    </w:p>
    <w:p>
      <w:pPr>
        <w:pStyle w:val="ListParagraph"/>
        <w:numPr>
          <w:ilvl w:val="0"/>
          <w:numId w:val="2"/>
        </w:numPr>
        <w:spacing w:after="80" w:line="290"/>
      </w:pPr>
      <w:r>
        <w:rPr>
          <w:b w:val="false"/>
          <w:bCs w:val="false"/>
          <w:sz w:val="20"/>
          <w:szCs w:val="20"/>
        </w:rPr>
        <w:t xml:space="preserve">Treat direct-to-hospital Model B as a later-stage goal, contingent on forming a US entity, completing SOC 2/HITRUST, securing cyber-liability insurance, and establishing a GPO or reseller relationship.</w:t>
      </w:r>
    </w:p>
    <w:p>
      <w:pPr>
        <w:pStyle w:val="ListParagraph"/>
        <w:numPr>
          <w:ilvl w:val="0"/>
          <w:numId w:val="2"/>
        </w:numPr>
        <w:spacing w:after="80" w:line="290"/>
      </w:pPr>
      <w:r>
        <w:rPr>
          <w:b w:val="false"/>
          <w:bCs w:val="false"/>
          <w:sz w:val="20"/>
          <w:szCs w:val="20"/>
        </w:rPr>
        <w:t xml:space="preserve">Form the US entity in parallel with — not after — the first serious counterparty conversation, since bank-account setup is typically the longest lead-time item.</w:t>
      </w:r>
    </w:p>
    <w:p>
      <w:pPr>
        <w:pStyle w:val="ListParagraph"/>
        <w:numPr>
          <w:ilvl w:val="0"/>
          <w:numId w:val="2"/>
        </w:numPr>
        <w:spacing w:after="80" w:line="290"/>
      </w:pPr>
      <w:r>
        <w:rPr>
          <w:b w:val="false"/>
          <w:bCs w:val="false"/>
          <w:sz w:val="20"/>
          <w:szCs w:val="20"/>
        </w:rPr>
        <w:t xml:space="preserve">Do not quote any figure in this document to a counterparty as fixed pricing; use it as an internal anchor and adjust to what the specific counterparty's own build-vs-buy economics support.</w:t>
      </w:r>
    </w:p>
    <w:p>
      <w:pPr>
        <w:pStyle w:val="ListParagraph"/>
        <w:numPr>
          <w:ilvl w:val="0"/>
          <w:numId w:val="2"/>
        </w:numPr>
        <w:spacing w:after="80" w:line="290"/>
      </w:pPr>
      <w:r>
        <w:rPr>
          <w:b w:val="false"/>
          <w:bCs w:val="false"/>
          <w:sz w:val="20"/>
          <w:szCs w:val="20"/>
        </w:rPr>
        <w:t xml:space="preserve">Engage M&amp;A/IP counsel and a cross-border tax advisor before any definitive agreement — not after a term sheet is signed.</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2026-08-23T15:21:25.482Z</dcterms:created>
  <dcterms:modified xsi:type="dcterms:W3CDTF">2026-08-23T15:21:25.497Z</dcterms:modified>
</cp:coreProperties>
</file>

<file path=docProps/custom.xml><?xml version="1.0" encoding="utf-8"?>
<Properties xmlns="http://schemas.openxmlformats.org/officeDocument/2006/custom-properties" xmlns:vt="http://schemas.openxmlformats.org/officeDocument/2006/docPropsVTypes"/>
</file>