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556E132F"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 xml:space="preserve">Unlimited corporate political speech undermines the integrity of our government. </w:t>
      </w:r>
      <w:r w:rsidR="00E33420">
        <w:rPr>
          <w:rFonts w:ascii="Times New Roman" w:hAnsi="Times New Roman" w:cs="Times New Roman"/>
          <w:color w:val="000000"/>
        </w:rPr>
        <w:t>W</w:t>
      </w:r>
      <w:r w:rsidRPr="005B17E7">
        <w:rPr>
          <w:rFonts w:ascii="Times New Roman" w:hAnsi="Times New Roman" w:cs="Times New Roman"/>
          <w:color w:val="000000"/>
        </w:rPr>
        <w:t>e should</w:t>
      </w:r>
      <w:r w:rsidR="00E33420">
        <w:rPr>
          <w:rFonts w:ascii="Times New Roman" w:hAnsi="Times New Roman" w:cs="Times New Roman"/>
          <w:color w:val="000000"/>
        </w:rPr>
        <w:t xml:space="preserve"> therefore</w:t>
      </w:r>
      <w:r w:rsidRPr="005B17E7">
        <w:rPr>
          <w:rFonts w:ascii="Times New Roman" w:hAnsi="Times New Roman" w:cs="Times New Roman"/>
          <w:color w:val="000000"/>
        </w:rPr>
        <w:t xml:space="preserve"> allow the federal government to restrict independent corporate campaign expenditures by adding the following amendment</w:t>
      </w:r>
      <w:r w:rsidR="00E33420">
        <w:rPr>
          <w:rFonts w:ascii="Times New Roman" w:hAnsi="Times New Roman" w:cs="Times New Roman"/>
          <w:color w:val="000000"/>
        </w:rPr>
        <w:t xml:space="preserve"> to the U.S. </w:t>
      </w:r>
      <w:proofErr w:type="spellStart"/>
      <w:r w:rsidR="00E33420">
        <w:rPr>
          <w:rFonts w:ascii="Times New Roman" w:hAnsi="Times New Roman" w:cs="Times New Roman"/>
          <w:color w:val="000000"/>
        </w:rPr>
        <w:t>Consitution</w:t>
      </w:r>
      <w:proofErr w:type="spellEnd"/>
      <w:r w:rsidRPr="005B17E7">
        <w:rPr>
          <w:rFonts w:ascii="Times New Roman" w:hAnsi="Times New Roman" w:cs="Times New Roman"/>
          <w:color w:val="000000"/>
        </w:rPr>
        <w:t>:</w:t>
      </w:r>
    </w:p>
    <w:p w14:paraId="51BC7D9D" w14:textId="77777777" w:rsidR="005B17E7" w:rsidRPr="005B17E7" w:rsidRDefault="005B17E7" w:rsidP="005B17E7">
      <w:pPr>
        <w:spacing w:line="480" w:lineRule="auto"/>
        <w:rPr>
          <w:rFonts w:ascii="Times New Roman" w:eastAsia="Times New Roman" w:hAnsi="Times New Roman" w:cs="Times New Roman"/>
        </w:rPr>
      </w:pPr>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7254C0BF"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w:t>
      </w:r>
      <w:r w:rsidR="00E33420">
        <w:rPr>
          <w:rFonts w:ascii="Times New Roman" w:hAnsi="Times New Roman" w:cs="Times New Roman"/>
          <w:color w:val="000000"/>
        </w:rPr>
        <w:t>reasoned</w:t>
      </w:r>
      <w:r w:rsidRPr="005B17E7">
        <w:rPr>
          <w:rFonts w:ascii="Times New Roman" w:hAnsi="Times New Roman" w:cs="Times New Roman"/>
          <w:color w:val="000000"/>
        </w:rPr>
        <w:t xml:space="preserve">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w:t>
      </w:r>
      <w:bookmarkStart w:id="0" w:name="_GoBack"/>
      <w:bookmarkEnd w:id="0"/>
      <w:r w:rsidRPr="005B17E7">
        <w:rPr>
          <w:rFonts w:ascii="Times New Roman" w:hAnsi="Times New Roman" w:cs="Times New Roman"/>
          <w:color w:val="000000"/>
        </w:rPr>
        <w:t xml:space="preserve">tions were not defined broadly— the Supreme Court has ruled that political speech restrictions similar to those that previously applied to corporations are permissible in other contexts.  </w:t>
      </w:r>
    </w:p>
    <w:p w14:paraId="5997F73C" w14:textId="759FC223"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Pr="005B17E7">
        <w:rPr>
          <w:rFonts w:ascii="Times New Roman" w:hAnsi="Times New Roman" w:cs="Times New Roman"/>
          <w:color w:val="000000" w:themeColor="text1"/>
        </w:rPr>
        <w:lastRenderedPageBreak/>
        <w:t>quid-pro-quo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Congress’s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Medicare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communications within 30 from a primary and 60 days from a general, but any other form of </w:t>
      </w:r>
      <w:r w:rsidRPr="005B17E7">
        <w:rPr>
          <w:rFonts w:ascii="Times New Roman" w:eastAsia="Times New Roman" w:hAnsi="Times New Roman" w:cs="Times New Roman"/>
          <w:color w:val="000000" w:themeColor="text1"/>
          <w:shd w:val="clear" w:color="auto" w:fill="FFFFFF"/>
        </w:rPr>
        <w:lastRenderedPageBreak/>
        <w:t xml:space="preserve">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p>
    <w:p w14:paraId="68AE6D84" w14:textId="77777777" w:rsidR="001D1698" w:rsidRPr="005B17E7" w:rsidRDefault="00D268AE">
      <w:pPr>
        <w:rPr>
          <w:rFonts w:ascii="Times New Roman" w:hAnsi="Times New Roman" w:cs="Times New Roman"/>
        </w:rPr>
      </w:pPr>
    </w:p>
    <w:sectPr w:rsidR="001D1698" w:rsidRPr="005B17E7" w:rsidSect="00267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B401" w14:textId="77777777" w:rsidR="00D268AE" w:rsidRDefault="00D268AE" w:rsidP="008726CE">
      <w:r>
        <w:separator/>
      </w:r>
    </w:p>
  </w:endnote>
  <w:endnote w:type="continuationSeparator" w:id="0">
    <w:p w14:paraId="65FD18E9" w14:textId="77777777" w:rsidR="00D268AE" w:rsidRDefault="00D268AE"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proofErr w:type="spellStart"/>
      <w:r w:rsidRPr="005B17E7">
        <w:rPr>
          <w:rFonts w:ascii="Times New Roman" w:hAnsi="Times New Roman" w:cs="Times New Roman"/>
          <w:sz w:val="20"/>
          <w:szCs w:val="20"/>
        </w:rPr>
        <w:t>Bluman</w:t>
      </w:r>
      <w:proofErr w:type="spellEnd"/>
      <w:r w:rsidRPr="005B17E7">
        <w:rPr>
          <w:rFonts w:ascii="Times New Roman" w:hAnsi="Times New Roman" w:cs="Times New Roman"/>
          <w:sz w:val="20"/>
          <w:szCs w:val="20"/>
        </w:rPr>
        <w:t xml:space="preserve">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04188" w14:textId="77777777" w:rsidR="00D268AE" w:rsidRDefault="00D268AE" w:rsidP="008726CE">
      <w:r>
        <w:separator/>
      </w:r>
    </w:p>
  </w:footnote>
  <w:footnote w:type="continuationSeparator" w:id="0">
    <w:p w14:paraId="00CC9D6D" w14:textId="77777777" w:rsidR="00D268AE" w:rsidRDefault="00D268AE"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CE"/>
    <w:rsid w:val="000C024E"/>
    <w:rsid w:val="000C79D9"/>
    <w:rsid w:val="0026600E"/>
    <w:rsid w:val="002A6BCB"/>
    <w:rsid w:val="002E63B5"/>
    <w:rsid w:val="00305CA8"/>
    <w:rsid w:val="00443B4E"/>
    <w:rsid w:val="004D5F7B"/>
    <w:rsid w:val="005B17E7"/>
    <w:rsid w:val="00654CAA"/>
    <w:rsid w:val="006C4342"/>
    <w:rsid w:val="00725701"/>
    <w:rsid w:val="007450DD"/>
    <w:rsid w:val="007B7A44"/>
    <w:rsid w:val="008726CE"/>
    <w:rsid w:val="00951EF9"/>
    <w:rsid w:val="009F7287"/>
    <w:rsid w:val="00B0487D"/>
    <w:rsid w:val="00B92A02"/>
    <w:rsid w:val="00BE36AD"/>
    <w:rsid w:val="00D268AE"/>
    <w:rsid w:val="00E33420"/>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bloomberglaw.com/public/desktop/document/Bluman_v_Federal_Election_Commission_Civil_No_101766_BMK_RMURMC_2?1587618126" TargetMode="External"/><Relationship Id="rId2" Type="http://schemas.openxmlformats.org/officeDocument/2006/relationships/hyperlink" Target="https://www.motherjones.com/politics/2016/10/drug-industry-pharmaceutical-lobbyists-medicare-part-d-prices/" TargetMode="External"/><Relationship Id="rId1" Type="http://schemas.openxmlformats.org/officeDocument/2006/relationships/hyperlink" Target="https://transition.fec.gov/law/litigation/cu_sc08_opin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885</Words>
  <Characters>4315</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3</cp:revision>
  <dcterms:created xsi:type="dcterms:W3CDTF">2020-08-29T18:29:00Z</dcterms:created>
  <dcterms:modified xsi:type="dcterms:W3CDTF">2021-01-10T21:19:00Z</dcterms:modified>
</cp:coreProperties>
</file>