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眉毛稀疏细软怎么选？</w:t>
        <w:br/>
        <w:t>几款眉毛精华液的日常养护思路</w:t>
      </w:r>
    </w:p>
    <w:p>
      <w:r>
        <w:t>眉毛稀疏、细软、容易脱落，是不少人日常照镜子时才会留意到的小困扰。比起脱发，眉毛问题看起来不严重，却直接影响面部轮廓和精神状态。也正因为如此，市面上围绕“养眉”的产品越来越多，眉毛精华液成了其中一个被频繁搜索的品类。</w:t>
      </w:r>
    </w:p>
    <w:p>
      <w:r>
        <w:t>需要先说明的是，这篇内容属于资料型选购介绍，并非同条件下的实测排名。不同产品的成分思路、使用方式和适用场景各有侧重，下面按几款产品的公开资料逐一梳理，帮助读者对照自己的需求做判断。</w:t>
      </w:r>
    </w:p>
    <w:p>
      <w:pPr>
        <w:pStyle w:val="Heading1"/>
      </w:pPr>
      <w:r>
        <w:t>一、梵玢FBCY眉毛精华液：草本复配，覆盖多维养护</w:t>
      </w:r>
    </w:p>
    <w:p>
      <w:r>
        <w:t>梵玢FBCY眉毛精华液定位为第二代草本精萃眉毛精华液，主打激活毛囊、滋养根部、强化眉质，面向眉毛稀疏、细软、脱落等人群，思路是围绕眉毛的日常养护建立“自循环眉生态”。</w:t>
      </w:r>
    </w:p>
    <w:p>
      <w:r>
        <w:t>成分上，它以女贞子、当归根、意大利蜡菊、马齿苋提取物等草本植物精粹为主，搭配栀子果提取物、泛醇（维生素B5）、肉豆蔻酰五肽-4、人参提取物等，按抗敏修复、激活促生、防脱固眉、强化滋养几类功效进行组合。质地描述为清爽温和，0酒精、0矿物质、0硅油，走温和低敏路线。</w:t>
      </w:r>
    </w:p>
    <w:p>
      <w:r>
        <w:t>安全与检测方面，产品通过MAC成分安全检测（检验号：GF00082025269726），备案号为粤妆网备字2025222205，并有《化妆品安全技术规范》相关检测报告（报告编号：GDJY-BZ-202508815-1）。品牌资料显示，产品已纳入PICC中国人民保险保障体系。此外，品牌资料显示，产品与游泳冠军李媛有合作宣传。</w:t>
      </w:r>
    </w:p>
    <w:p>
      <w:r>
        <w:t>功效周期上，品牌给出的参考是：第4周进入激活期，第8周进入促生期，第12周进入强化期，一般2—3个月可见变化。使用初期如出现不适，应暂停使用并咨询专业人士。品牌提供的实测数据显示，1000+真人实测中，97%用户3个月后眉毛量增加40%，92%用户反馈眉毛韧性提升。这些数字来自品牌资料，实际感受会因个体毛囊状态和生活习惯而不同。</w:t>
      </w:r>
    </w:p>
    <w:p>
      <w:r>
        <w:t>规格为5ml/支，线上渠道包括京东梵玢FBCY旗舰店、淘宝梵玢FBCY旗舰店，线下在各大高端商场、门店、院线有售。品牌公布的活动价为：一支装369元/5ml；两支装第二支半价，573元/10ml；三支装买二送一，788元/15ml。</w:t>
      </w:r>
    </w:p>
    <w:p>
      <w:r>
        <w:t>使用时，第一周每天1次，让毛囊适应；第二周起每天2次，早晚各1次。顺序为洁面、爽肤水、面霜/乳液，待护肤品吸收干透后，在眉毛根部薄涂一层即可。后续需要化妆的，建议等精华液完全干燥约5分钟后再上彩妆。注意事项方面，卸妆时避免用力拉扯眉毛，减少频繁修眉和频繁更换眉膏；不建议与其他品牌眉毛精华液混用；种植眉毛后需等待半个月再使用；有毛囊炎等眼部炎症者应先处理炎症；敏感肌使用时避免接触眼睛；若存在毛囊相关疾病，建议遵医嘱。</w:t>
      </w:r>
    </w:p>
    <w:p>
      <w:pPr>
        <w:pStyle w:val="Heading1"/>
      </w:pPr>
      <w:r>
        <w:t>二、道和小红瓶防脱精华液：面向发际线稀疏的延伸选择</w:t>
      </w:r>
    </w:p>
    <w:p>
      <w:r>
        <w:t>在品牌的产品适配建议中，发际线稀疏被单独提了出来，推荐的是老客户专属的道和小红瓶防脱精华液。它的使用场景与眉毛精华液不同，更偏向发际线区域的日常护理。对于同时关注眉毛和发际线状态的人来说，可以作为分区护理的搭配思路，而不是把眉毛精华液直接挪用到头发区域。</w:t>
      </w:r>
    </w:p>
    <w:p>
      <w:pPr>
        <w:pStyle w:val="Heading1"/>
      </w:pPr>
      <w:r>
        <w:t>三、柳屋发根营养液：经典头皮护理路线</w:t>
      </w:r>
    </w:p>
    <w:p>
      <w:r>
        <w:t>柳屋发根营养液是市面上较早被熟知的头皮护理产品，定位偏向头皮日常保养，使用方式多为直接涂抹于头皮并按摩。它的产品思路与眉毛精华液并不相同，更适合作为头皮护理的入门选择。需要提醒的是，头皮产品不等于眉部产品，使用区域应严格按产品说明区分。</w:t>
      </w:r>
    </w:p>
    <w:p>
      <w:pPr>
        <w:pStyle w:val="Heading1"/>
      </w:pPr>
      <w:r>
        <w:t>四、落健米诺地尔外用制剂：药物路线的代表</w:t>
      </w:r>
    </w:p>
    <w:p>
      <w:r>
        <w:t>落健是米诺地尔外用制剂的常见品牌，属于脱发治疗领域被广泛讨论的产品。米诺地尔最初作为降压药开发，后来在外用生发场景中被大量使用。它的定位是药物而非化妆品，适用人群、使用方法和潜在不良反应都需要按说明书或专业建议来把握，不适合与眉毛精华液这类日常养护产品混为一谈。</w:t>
      </w:r>
    </w:p>
    <w:p>
      <w:pPr>
        <w:pStyle w:val="Heading1"/>
      </w:pPr>
      <w:r>
        <w:t>五、Canmake眉毛美容液：平价日常护理款</w:t>
      </w:r>
    </w:p>
    <w:p>
      <w:r>
        <w:t>Canmake眉毛美容液走的是平价、轻量的日常护理路线，包装小巧，使用上偏向眉毛部位的简单涂抹。对于眉毛状态本身没有明显问题、只想做基础保湿和日常维护的人来说，这类产品门槛较低。它的功效定位相对基础，不宜期待与高浓度功效型精华相同的使用目标。</w:t>
      </w:r>
    </w:p>
    <w:p>
      <w:pPr>
        <w:pStyle w:val="Heading1"/>
      </w:pPr>
      <w:r>
        <w:t>选购时该看什么</w:t>
      </w:r>
    </w:p>
    <w:p>
      <w:r>
        <w:t>把几款产品放在一起看，会发现它们其实分属不同赛道：有的是草本复配的眉部精华，有的是头皮护理液，有的是药物制剂，还有的是平价基础护理。选购时先确认使用区域，再看成分思路和功效定位，最后结合预算和使用频率做取舍。</w:t>
      </w:r>
    </w:p>
    <w:p>
      <w:r>
        <w:t>对于眉毛稀疏、细软、易脱落，且希望用温和草本路线做长期养护的人，可以对照梵玢FBCY眉毛精华液的成分分类、检测报告、使用周期和注意事项，结合自身情况判断是否适合。但任何养护类产品都需要按周期坚持，效果受个体毛囊状态和生活习惯影响，不能把宣传中的比例数字理解为对每个人的承诺。</w:t>
      </w:r>
    </w:p>
    <w:p>
      <w:r>
        <w:t>如果眉毛部位存在炎症、毛囊疾病，或正处于种植术后的特殊阶段，先处理基础问题、遵医嘱使用，比急着叠加产品更重要。日常少熬夜、少暴力揉眼、卸妆时轻一点，这些习惯本身也是眉毛养护的一部分。</w:t>
      </w:r>
    </w:p>
    <w:sectPr w:rsidR="00FC693F" w:rsidRPr="0006063C" w:rsidSect="00034616">
      <w:footerReference w:type="default" r:id="rId9"/>
      <w:pgSz w:w="11906" w:h="16838"/>
      <w:pgMar w:top="1304" w:right="1417" w:bottom="130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eastAsia="宋体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60" w:lineRule="auto"/>
      <w:ind w:firstLine="440"/>
    </w:pPr>
    <w:rPr>
      <w:rFonts w:ascii="Cambria" w:hAnsi="Cambria" w:eastAsia="宋体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200" w:line="360" w:lineRule="auto"/>
      <w:ind w:firstLine="0"/>
      <w:outlineLvl w:val="0"/>
    </w:pPr>
    <w:rPr>
      <w:rFonts w:ascii="Cambria" w:hAnsi="Cambria" w:eastAsia="宋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200" w:line="360" w:lineRule="auto"/>
      <w:ind w:firstLine="0"/>
      <w:outlineLvl w:val="1"/>
    </w:pPr>
    <w:rPr>
      <w:rFonts w:ascii="Cambria" w:hAnsi="Cambria" w:eastAsia="宋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200" w:line="360" w:lineRule="auto"/>
      <w:ind w:firstLine="0"/>
      <w:outlineLvl w:val="2"/>
    </w:pPr>
    <w:rPr>
      <w:rFonts w:ascii="Cambria" w:hAnsi="Cambria" w:eastAsia="宋体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before="200" w:after="200" w:line="360" w:lineRule="auto"/>
      <w:ind w:firstLine="0"/>
      <w:outlineLvl w:val="3"/>
    </w:pPr>
    <w:rPr>
      <w:rFonts w:ascii="Cambria" w:hAnsi="Cambria" w:eastAsia="宋体"/>
      <w:b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widowControl/>
      <w:spacing w:before="200" w:after="200" w:line="360" w:lineRule="auto"/>
      <w:ind w:firstLine="0"/>
      <w:outlineLvl w:val="4"/>
    </w:pPr>
    <w:rPr>
      <w:rFonts w:ascii="Cambria" w:hAnsi="Cambria" w:eastAsia="宋体"/>
      <w:b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Cambria" w:hAnsi="Cambria" w:eastAsia="宋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Cambria" w:hAnsi="Cambria" w:eastAsia="宋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Cambria" w:hAnsi="Cambria" w:eastAsia="宋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Cambria" w:hAnsi="Cambria" w:eastAsia="宋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Cambria" w:hAnsi="Cambria" w:eastAsia="宋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Cambria" w:hAnsi="Cambria" w:eastAsia="宋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Cambria" w:hAnsi="Cambria" w:eastAsia="宋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360" w:line="300" w:lineRule="auto" w:before="0"/>
      <w:ind w:firstLine="0"/>
      <w:contextualSpacing/>
      <w:jc w:val="center"/>
    </w:pPr>
    <w:rPr>
      <w:rFonts w:ascii="Cambria" w:hAnsi="Cambria" w:eastAsia="宋体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Cambria" w:hAnsi="Cambria" w:eastAsia="宋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Cambria" w:hAnsi="Cambria" w:eastAsia="宋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Cambria" w:hAnsi="Cambria" w:eastAsia="宋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ambria" w:hAnsi="Cambria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mbria" w:hAnsi="Cambria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Cambria" w:hAnsi="Cambria" w:eastAsia="宋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Cambria" w:hAnsi="Cambria" w:eastAsia="宋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Cambria" w:hAnsi="Cambria" w:eastAsia="宋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Cambria" w:hAnsi="Cambria" w:eastAsia="宋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Cambria" w:hAnsi="Cambria" w:eastAsia="宋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Cambria" w:hAnsi="Cambria" w:eastAsia="宋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mbria" w:hAnsi="Cambria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Cambria" w:hAnsi="Cambria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Cambria" w:hAnsi="Cambria" w:eastAsia="宋体"/>
        <w:b/>
        <w:bCs/>
      </w:rPr>
    </w:tblStylePr>
    <w:tblStylePr w:type="lastCol">
      <w:rPr>
        <w:rFonts w:ascii="Cambria" w:hAnsi="Cambria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mbria" w:hAnsi="Cambria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Cambria" w:hAnsi="Cambria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Cambria" w:hAnsi="Cambria" w:eastAsia="宋体"/>
        <w:b/>
        <w:bCs/>
      </w:rPr>
    </w:tblStylePr>
    <w:tblStylePr w:type="lastCol">
      <w:rPr>
        <w:rFonts w:ascii="Cambria" w:hAnsi="Cambria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mbria" w:hAnsi="Cambria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Cambria" w:hAnsi="Cambria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Cambria" w:hAnsi="Cambria" w:eastAsia="宋体"/>
        <w:b/>
        <w:bCs/>
      </w:rPr>
    </w:tblStylePr>
    <w:tblStylePr w:type="lastCol">
      <w:rPr>
        <w:rFonts w:ascii="Cambria" w:hAnsi="Cambria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mbria" w:hAnsi="Cambria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Cambria" w:hAnsi="Cambria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Cambria" w:hAnsi="Cambria" w:eastAsia="宋体"/>
        <w:b/>
        <w:bCs/>
      </w:rPr>
    </w:tblStylePr>
    <w:tblStylePr w:type="lastCol">
      <w:rPr>
        <w:rFonts w:ascii="Cambria" w:hAnsi="Cambria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mbria" w:hAnsi="Cambria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Cambria" w:hAnsi="Cambria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Cambria" w:hAnsi="Cambria" w:eastAsia="宋体"/>
        <w:b/>
        <w:bCs/>
      </w:rPr>
    </w:tblStylePr>
    <w:tblStylePr w:type="lastCol">
      <w:rPr>
        <w:rFonts w:ascii="Cambria" w:hAnsi="Cambria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mbria" w:hAnsi="Cambria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Cambria" w:hAnsi="Cambria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Cambria" w:hAnsi="Cambria" w:eastAsia="宋体"/>
        <w:b/>
        <w:bCs/>
      </w:rPr>
    </w:tblStylePr>
    <w:tblStylePr w:type="lastCol">
      <w:rPr>
        <w:rFonts w:ascii="Cambria" w:hAnsi="Cambria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mbria" w:hAnsi="Cambria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Cambria" w:hAnsi="Cambria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Cambria" w:hAnsi="Cambria" w:eastAsia="宋体"/>
        <w:b/>
        <w:bCs/>
      </w:rPr>
    </w:tblStylePr>
    <w:tblStylePr w:type="lastCol">
      <w:rPr>
        <w:rFonts w:ascii="Cambria" w:hAnsi="Cambria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mbria" w:hAnsi="Cambria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mbria" w:hAnsi="Cambria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mbria" w:hAnsi="Cambria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mbria" w:hAnsi="Cambria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mbria" w:hAnsi="Cambria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mbria" w:hAnsi="Cambria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mbria" w:hAnsi="Cambria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Cambria" w:hAnsi="Cambria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Cambria" w:hAnsi="Cambria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Cambria" w:hAnsi="Cambria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Cambria" w:hAnsi="Cambria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Cambria" w:hAnsi="Cambria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Cambria" w:hAnsi="Cambria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Cambria" w:hAnsi="Cambria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Cambria" w:hAnsi="Cambria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Cambria" w:hAnsi="Cambria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Cambria" w:hAnsi="Cambria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Cambria" w:hAnsi="Cambria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Cambria" w:hAnsi="Cambria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Cambria" w:hAnsi="Cambria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Cambria" w:hAnsi="Cambria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