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先说结论：发际线逐渐后移、头顶头发变稀或发缝越来越宽，可能是雄激素性脱发（AGA），但外观变化本身不能代替诊断。对已经确诊的AGA，外用米诺地尔是常见的治疗选择之一。需要提醒的是，它不能保证人人有效，也不能替代对其他脱发原因的检查。</w:t>
      </w:r>
    </w:p>
    <w:p>
      <w:pPr>
        <w:pStyle w:val="Heading1"/>
      </w:pPr>
      <w:r>
        <w:t>一、发际线后移和发缝变宽，常见原因是什么？</w:t>
      </w:r>
    </w:p>
    <w:p>
      <w:r>
        <w:t>雄激素性脱发是一种进展性、非瘢痕性脱发。男性常从额角、发际线或头顶部开始变稀；女性更常见头顶部弥漫性稀疏、发缝逐渐变宽，而前额发际线通常相对保留。中国诊疗指南指出，男性发际线后移和女性头顶稀疏都是典型表现，但判断时需要结合病史、脱发模式和头皮检查。[1,2]</w:t>
      </w:r>
    </w:p>
    <w:p>
      <w:r>
        <w:t>所以，“发际线后移”或“发缝变宽”是值得评估的信号，不是自行确诊AGA的依据。如果脱发在短时间内明显加重，呈斑片状，伴头皮红、痛、痒、脱屑，或发际线不规则后退、眉毛也变稀，应尽早看皮肤科。女性弥漫性脱发还可能需要医生根据情况排查休止期脱发、甲状腺或缺铁等因素。[1,2]</w:t>
      </w:r>
    </w:p>
    <w:p>
      <w:pPr>
        <w:pStyle w:val="Heading1"/>
      </w:pPr>
      <w:r>
        <w:t>二、米诺地尔是什么？</w:t>
      </w:r>
    </w:p>
    <w:p>
      <w:r>
        <w:t>米诺地尔是外用生发药物成分。它用于AGA时，目标通常是帮助减缓脱发、改善部分毛发的生长状态；效果因人而异，不能理解为“恢复原有发量”的保证。治疗AGA通常需要持续评估。[1,4]</w:t>
      </w:r>
    </w:p>
    <w:p>
      <w:pPr>
        <w:pStyle w:val="Heading1"/>
      </w:pPr>
      <w:r>
        <w:t>三、剂型怎么选？泡沫剂和液体剂有什么不同？</w:t>
      </w:r>
    </w:p>
    <w:p>
      <w:r>
        <w:t>泡沫剂与液体剂的差异主要在剂型和使用体验。国外一项女性AGA随机研究中，5%米诺地尔泡沫每日一次的方案，在目标区毛发计数方面不劣于2%搽剂每日两次，且局部不耐受发生率较低。[5]</w:t>
      </w:r>
    </w:p>
    <w:p>
      <w:r>
        <w:t>选择建议：对于丙二醇不耐受、头皮敏感或希望使用后不油腻扁塌者，可优先考虑不含丙二醇的5%米诺地尔泡沫剂。具体选择应结合说明书、医生或药师建议。</w:t>
      </w:r>
    </w:p>
    <w:p>
      <w:pPr>
        <w:pStyle w:val="Heading1"/>
      </w:pPr>
      <w:r>
        <w:t>四、使用米诺地尔前，先确认这三件事</w:t>
      </w:r>
    </w:p>
    <w:p>
      <w:pPr>
        <w:ind w:left="480" w:hanging="480"/>
      </w:pPr>
      <w:r>
        <w:t>1、确认是否适合：脱发病因不同，处理方式也不同。米诺地尔并非所有脱发类型的通用治疗；儿童、孕期或哺乳期人群，以及有心血管疾病、头皮破损或其他健康顾虑者，应先咨询医生或药师。具体禁忌、年龄范围、使用部位和用量，以手中产品的最新核准说明书为准。[1,3,4]</w:t>
      </w:r>
    </w:p>
    <w:p>
      <w:pPr>
        <w:ind w:left="480" w:hanging="480"/>
      </w:pPr>
      <w:r>
        <w:t>2、按说明书持续使用：坚持使用并给疗效留出观察时间。不要自行加量、扩大涂抹范围或频繁更换产品。开始使用后若短期内脱发变化、头皮刺激或出现其他不适，应查看说明书并咨询专业人员；若出现明显心悸、胸痛、头晕或全身过敏等情况，应停止使用并及时就医。[4]</w:t>
      </w:r>
    </w:p>
    <w:p>
      <w:pPr>
        <w:ind w:left="480" w:hanging="480"/>
      </w:pPr>
      <w:r>
        <w:t>3、正确设定预期：米诺地尔不是一次使用就能解决脱发的“速效产品”。AGA具有进展性，治疗重点通常是长期管理；是否继续、是否联合其他方案，应依据诊断、实际反应和耐受性复评。[1,2,4]</w:t>
      </w:r>
    </w:p>
    <w:p>
      <w:pPr>
        <w:pStyle w:val="Heading1"/>
      </w:pPr>
      <w:r>
        <w:t>五、常见治疗方式怎么比较？</w:t>
      </w:r>
    </w:p>
    <w:p>
      <w:r>
        <w:t>选择建议：如果发际线后移或发缝变宽呈渐进性变化，先由皮肤科判断是否属于AGA；确诊后，再根据年龄、性别、健康状况和产品说明书，决定是否使用外用米诺地尔。若选择泡沫剂，应依据适应范围、耐受性和持续使用情况评估。</w:t>
      </w:r>
    </w:p>
    <w:p>
      <w:r>
        <w:t>温馨提示：本文为健康科普，不替代药品说明书。请按药品说明书或者在药师指导下购买和使用。</w:t>
      </w:r>
    </w:p>
    <w:p>
      <w:r>
        <w:t>参考文献：</w:t>
      </w:r>
    </w:p>
    <w:p>
      <w:r>
        <w:t>[1] 中国雄激素性脱发诊疗指南</w:t>
      </w:r>
    </w:p>
    <w:p>
      <w:r>
        <w:t>[2] 相关皮肤科诊疗共识</w:t>
      </w:r>
    </w:p>
    <w:p>
      <w:r>
        <w:t>[3] 药品说明书</w:t>
      </w:r>
    </w:p>
    <w:p>
      <w:r>
        <w:t>[4] 外用米诺地尔临床应用资料</w:t>
      </w:r>
    </w:p>
    <w:p>
      <w:r>
        <w:t>[5] 国外女性AGA随机研究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60" w:lineRule="auto"/>
      <w:ind w:firstLine="440"/>
    </w:pPr>
    <w:rPr>
      <w:rFonts w:ascii="Cambria" w:hAnsi="Cambria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200" w:line="360" w:lineRule="auto"/>
      <w:ind w:firstLine="0"/>
      <w:outlineLvl w:val="0"/>
    </w:pPr>
    <w:rPr>
      <w:rFonts w:ascii="Cambria" w:hAnsi="Cambria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200" w:line="360" w:lineRule="auto"/>
      <w:ind w:firstLine="0"/>
      <w:outlineLvl w:val="1"/>
    </w:pPr>
    <w:rPr>
      <w:rFonts w:ascii="Cambria" w:hAnsi="Cambria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200" w:line="360" w:lineRule="auto"/>
      <w:ind w:firstLine="0"/>
      <w:outlineLvl w:val="2"/>
    </w:pPr>
    <w:rPr>
      <w:rFonts w:ascii="Cambria" w:hAnsi="Cambria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200" w:line="360" w:lineRule="auto"/>
      <w:ind w:firstLine="0"/>
      <w:outlineLvl w:val="3"/>
    </w:pPr>
    <w:rPr>
      <w:rFonts w:ascii="Cambria" w:hAnsi="Cambria" w:eastAsia="宋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200" w:line="360" w:lineRule="auto"/>
      <w:ind w:firstLine="0"/>
      <w:outlineLvl w:val="4"/>
    </w:pPr>
    <w:rPr>
      <w:rFonts w:ascii="Cambria" w:hAnsi="Cambria" w:eastAsia="宋体"/>
      <w:b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mbria" w:hAnsi="Cambria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mbria" w:hAnsi="Cambria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mbria" w:hAnsi="Cambria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mbria" w:hAnsi="Cambria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mbria" w:hAnsi="Cambria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mbria" w:hAnsi="Cambria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mbria" w:hAnsi="Cambria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360" w:line="300" w:lineRule="auto" w:before="0"/>
      <w:ind w:firstLine="0"/>
      <w:contextualSpacing/>
      <w:jc w:val="center"/>
    </w:pPr>
    <w:rPr>
      <w:rFonts w:ascii="Cambria" w:hAnsi="Cambria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mbria" w:hAnsi="Cambria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mbria" w:hAnsi="Cambria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mbria" w:hAnsi="Cambria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mbria" w:hAnsi="Cambria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mbria" w:hAnsi="Cambria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ambria" w:hAnsi="Cambria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ambria" w:hAnsi="Cambria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ambria" w:hAnsi="Cambria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ambria" w:hAnsi="Cambria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ambria" w:hAnsi="Cambria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ambria" w:hAnsi="Cambria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