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60" w:line="240" w:lineRule="auto"/>
      </w:pPr>
      <w:r>
        <w:rPr>
          <w:rFonts w:ascii="Arial" w:hAnsi="Arial"/>
          <w:b/>
          <w:color w:val="3198D0"/>
          <w:sz w:val="18"/>
        </w:rPr>
        <w:t>CLEARDOC ÜBERGABEPAKET</w:t>
      </w:r>
    </w:p>
    <w:p>
      <w:pPr>
        <w:pStyle w:val="Title"/>
        <w:keepNext/>
        <w:widowControl/>
        <w:spacing w:before="0" w:after="160" w:line="240" w:lineRule="auto"/>
      </w:pPr>
      <w:r>
        <w:rPr>
          <w:rFonts w:ascii="Calibri" w:hAnsi="Calibri"/>
          <w:b/>
          <w:color w:val="075E8D"/>
          <w:sz w:val="60"/>
        </w:rPr>
        <w:t>ClearDoc Handover</w:t>
      </w:r>
    </w:p>
    <w:p>
      <w:pPr>
        <w:pStyle w:val="Subtitle"/>
        <w:keepNext/>
        <w:widowControl/>
        <w:spacing w:before="0" w:after="400" w:line="276" w:lineRule="auto"/>
      </w:pPr>
      <w:r>
        <w:rPr>
          <w:rFonts w:ascii="Calibri" w:hAnsi="Calibri"/>
          <w:color w:val="6C7378"/>
          <w:sz w:val="28"/>
        </w:rPr>
        <w:t>Produkt, Landingpage und Pilotübergabe</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F4FA"/>
            <w:tcBorders>
              <w:bottom w:val="single" w:sz="4" w:color="D9DCDE"/>
            </w:tcBorders>
            <w:tcMar>
              <w:top w:w="80" w:type="dxa"/>
              <w:start w:w="120" w:type="dxa"/>
              <w:bottom w:w="80" w:type="dxa"/>
              <w:end w:w="120" w:type="dxa"/>
            </w:tcMar>
            <w:vAlign w:val="center"/>
          </w:tcPr>
          <w:p>
            <w:pPr>
              <w:keepNext w:val="0"/>
              <w:widowControl/>
              <w:spacing w:before="0" w:after="0" w:line="264" w:lineRule="auto"/>
            </w:pPr>
            <w:r>
              <w:rPr>
                <w:rFonts w:ascii="Calibri" w:hAnsi="Calibri"/>
                <w:b/>
                <w:color w:val="075E8D"/>
                <w:sz w:val="19"/>
              </w:rPr>
              <w:t>Stand</w:t>
            </w:r>
          </w:p>
        </w:tc>
        <w:tc>
          <w:tcPr>
            <w:tcW w:type="dxa" w:w="7260"/>
            <w:tcBorders>
              <w:bottom w:val="single" w:sz="4" w:color="D9DCDE"/>
            </w:tcBorders>
            <w:tcMar>
              <w:top w:w="80" w:type="dxa"/>
              <w:start w:w="120" w:type="dxa"/>
              <w:bottom w:w="80" w:type="dxa"/>
              <w:end w:w="120" w:type="dxa"/>
            </w:tcMar>
            <w:vAlign w:val="center"/>
          </w:tcPr>
          <w:p>
            <w:pPr>
              <w:keepNext w:val="0"/>
              <w:widowControl/>
              <w:spacing w:before="0" w:after="0" w:line="264" w:lineRule="auto"/>
            </w:pPr>
            <w:r>
              <w:rPr>
                <w:rFonts w:ascii="Calibri" w:hAnsi="Calibri"/>
                <w:color w:val="35383B"/>
                <w:sz w:val="20"/>
              </w:rPr>
              <w:t>26. August 2026</w:t>
            </w:r>
          </w:p>
        </w:tc>
      </w:tr>
      <w:tr>
        <w:tc>
          <w:tcPr>
            <w:tcW w:type="dxa" w:w="2100"/>
            <w:shd w:fill="E8F4FA"/>
            <w:tcBorders>
              <w:bottom w:val="single" w:sz="4" w:color="D9DCDE"/>
            </w:tcBorders>
            <w:tcMar>
              <w:top w:w="80" w:type="dxa"/>
              <w:start w:w="120" w:type="dxa"/>
              <w:bottom w:w="80" w:type="dxa"/>
              <w:end w:w="120" w:type="dxa"/>
            </w:tcMar>
            <w:vAlign w:val="center"/>
          </w:tcPr>
          <w:p>
            <w:pPr>
              <w:keepNext w:val="0"/>
              <w:widowControl/>
              <w:spacing w:before="0" w:after="0" w:line="264" w:lineRule="auto"/>
            </w:pPr>
            <w:r>
              <w:rPr>
                <w:rFonts w:ascii="Calibri" w:hAnsi="Calibri"/>
                <w:b/>
                <w:color w:val="075E8D"/>
                <w:sz w:val="19"/>
              </w:rPr>
              <w:t>Status</w:t>
            </w:r>
          </w:p>
        </w:tc>
        <w:tc>
          <w:tcPr>
            <w:tcW w:type="dxa" w:w="7260"/>
            <w:tcBorders>
              <w:bottom w:val="single" w:sz="4" w:color="D9DCDE"/>
            </w:tcBorders>
            <w:tcMar>
              <w:top w:w="80" w:type="dxa"/>
              <w:start w:w="120" w:type="dxa"/>
              <w:bottom w:w="80" w:type="dxa"/>
              <w:end w:w="120" w:type="dxa"/>
            </w:tcMar>
            <w:vAlign w:val="center"/>
          </w:tcPr>
          <w:p>
            <w:pPr>
              <w:keepNext w:val="0"/>
              <w:widowControl/>
              <w:spacing w:before="0" w:after="0" w:line="264" w:lineRule="auto"/>
            </w:pPr>
            <w:r>
              <w:rPr>
                <w:rFonts w:ascii="Calibri" w:hAnsi="Calibri"/>
                <w:color w:val="35383B"/>
                <w:sz w:val="20"/>
              </w:rPr>
              <w:t>Validierungsprototyp - nicht produktionsbereit</w:t>
            </w:r>
          </w:p>
        </w:tc>
      </w:tr>
      <w:tr>
        <w:tc>
          <w:tcPr>
            <w:tcW w:type="dxa" w:w="2100"/>
            <w:shd w:fill="E8F4FA"/>
            <w:tcBorders>
              <w:bottom w:val="single" w:sz="4" w:color="D9DCDE"/>
            </w:tcBorders>
            <w:tcMar>
              <w:top w:w="80" w:type="dxa"/>
              <w:start w:w="120" w:type="dxa"/>
              <w:bottom w:w="80" w:type="dxa"/>
              <w:end w:w="120" w:type="dxa"/>
            </w:tcMar>
            <w:vAlign w:val="center"/>
          </w:tcPr>
          <w:p>
            <w:pPr>
              <w:keepNext w:val="0"/>
              <w:widowControl/>
              <w:spacing w:before="0" w:after="0" w:line="264" w:lineRule="auto"/>
            </w:pPr>
            <w:r>
              <w:rPr>
                <w:rFonts w:ascii="Calibri" w:hAnsi="Calibri"/>
                <w:b/>
                <w:color w:val="075E8D"/>
                <w:sz w:val="19"/>
              </w:rPr>
              <w:t>Zielgruppe</w:t>
            </w:r>
          </w:p>
        </w:tc>
        <w:tc>
          <w:tcPr>
            <w:tcW w:type="dxa" w:w="7260"/>
            <w:tcBorders>
              <w:bottom w:val="single" w:sz="4" w:color="D9DCDE"/>
            </w:tcBorders>
            <w:tcMar>
              <w:top w:w="80" w:type="dxa"/>
              <w:start w:w="120" w:type="dxa"/>
              <w:bottom w:w="80" w:type="dxa"/>
              <w:end w:w="120" w:type="dxa"/>
            </w:tcMar>
            <w:vAlign w:val="center"/>
          </w:tcPr>
          <w:p>
            <w:pPr>
              <w:keepNext w:val="0"/>
              <w:widowControl/>
              <w:spacing w:before="0" w:after="0" w:line="264" w:lineRule="auto"/>
            </w:pPr>
            <w:r>
              <w:rPr>
                <w:rFonts w:ascii="Calibri" w:hAnsi="Calibri"/>
                <w:color w:val="35383B"/>
                <w:sz w:val="20"/>
              </w:rPr>
              <w:t>Arztpraxen in der Schweiz</w:t>
            </w:r>
          </w:p>
        </w:tc>
      </w:tr>
      <w:tr>
        <w:tc>
          <w:tcPr>
            <w:tcW w:type="dxa" w:w="2100"/>
            <w:shd w:fill="E8F4FA"/>
            <w:tcBorders>
              <w:bottom w:val="single" w:sz="4" w:color="D9DCDE"/>
            </w:tcBorders>
            <w:tcMar>
              <w:top w:w="80" w:type="dxa"/>
              <w:start w:w="120" w:type="dxa"/>
              <w:bottom w:w="80" w:type="dxa"/>
              <w:end w:w="120" w:type="dxa"/>
            </w:tcMar>
            <w:vAlign w:val="center"/>
          </w:tcPr>
          <w:p>
            <w:pPr>
              <w:keepNext w:val="0"/>
              <w:widowControl/>
              <w:spacing w:before="0" w:after="0" w:line="264" w:lineRule="auto"/>
            </w:pPr>
            <w:r>
              <w:rPr>
                <w:rFonts w:ascii="Calibri" w:hAnsi="Calibri"/>
                <w:b/>
                <w:color w:val="075E8D"/>
                <w:sz w:val="19"/>
              </w:rPr>
              <w:t>Nächster Meilenstein</w:t>
            </w:r>
          </w:p>
        </w:tc>
        <w:tc>
          <w:tcPr>
            <w:tcW w:type="dxa" w:w="7260"/>
            <w:tcBorders>
              <w:bottom w:val="single" w:sz="4" w:color="D9DCDE"/>
            </w:tcBorders>
            <w:tcMar>
              <w:top w:w="80" w:type="dxa"/>
              <w:start w:w="120" w:type="dxa"/>
              <w:bottom w:w="80" w:type="dxa"/>
              <w:end w:w="120" w:type="dxa"/>
            </w:tcMar>
            <w:vAlign w:val="center"/>
          </w:tcPr>
          <w:p>
            <w:pPr>
              <w:keepNext w:val="0"/>
              <w:widowControl/>
              <w:spacing w:before="0" w:after="0" w:line="264" w:lineRule="auto"/>
            </w:pPr>
            <w:r>
              <w:rPr>
                <w:rFonts w:ascii="Calibri" w:hAnsi="Calibri"/>
                <w:color w:val="35383B"/>
                <w:sz w:val="20"/>
              </w:rPr>
              <w:t>Pionierpraxen im Schattenbetrieb validieren</w:t>
            </w:r>
          </w:p>
        </w:tc>
      </w:tr>
    </w:tbl>
    <w:p>
      <w:pPr>
        <w:keepNext w:val="0"/>
        <w:widowControl/>
        <w:spacing w:before="0" w:after="200" w:line="24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4FA"/>
            <w:tcBorders>
              <w:left w:val="single" w:sz="22" w:color="075E8D"/>
            </w:tcBorders>
          </w:tcPr>
          <w:p>
            <w:pPr>
              <w:keepNext w:val="0"/>
              <w:widowControl/>
              <w:spacing w:before="0" w:after="40" w:line="276" w:lineRule="auto"/>
            </w:pPr>
            <w:r>
              <w:rPr>
                <w:rFonts w:ascii="Calibri" w:hAnsi="Calibri"/>
                <w:b/>
                <w:color w:val="075E8D"/>
                <w:sz w:val="21"/>
              </w:rPr>
              <w:t>Übergabeziel</w:t>
            </w:r>
          </w:p>
          <w:p>
            <w:pPr>
              <w:keepNext w:val="0"/>
              <w:widowControl/>
              <w:spacing w:before="0" w:after="0" w:line="288" w:lineRule="auto"/>
            </w:pPr>
            <w:r>
              <w:rPr>
                <w:rFonts w:ascii="Calibri" w:hAnsi="Calibri"/>
                <w:color w:val="35383B"/>
                <w:sz w:val="21"/>
              </w:rPr>
              <w:t>Ein neuer interner oder externer Projektverantwortlicher soll Positionierung, Produktlogik, Website, Risiken und nächste Schritte ohne weitere Kontextübergabe verstehen und weiterführen können.</w:t>
            </w:r>
          </w:p>
        </w:tc>
      </w:tr>
    </w:tbl>
    <w:p>
      <w:pPr>
        <w:keepNext w:val="0"/>
        <w:widowControl/>
        <w:spacing w:before="0" w:after="40" w:line="240" w:lineRule="auto"/>
      </w:pPr>
    </w:p>
    <w:p>
      <w:pPr>
        <w:pStyle w:val="Heading2"/>
      </w:pPr>
      <w:r>
        <w:t>Enthaltene Materialien</w:t>
      </w:r>
    </w:p>
    <w:p>
      <w:pPr>
        <w:pStyle w:val="ListBullet"/>
        <w:keepNext w:val="0"/>
        <w:widowControl/>
        <w:spacing w:before="0" w:after="80" w:line="300" w:lineRule="auto"/>
        <w:ind w:left="540" w:hanging="271"/>
      </w:pPr>
      <w:r>
        <w:rPr>
          <w:rFonts w:ascii="Calibri" w:hAnsi="Calibri"/>
          <w:color w:val="35383B"/>
          <w:sz w:val="22"/>
        </w:rPr>
        <w:t>Management- und Produktdokumentation</w:t>
      </w:r>
    </w:p>
    <w:p>
      <w:pPr>
        <w:pStyle w:val="ListBullet"/>
        <w:keepNext w:val="0"/>
        <w:widowControl/>
        <w:spacing w:before="0" w:after="80" w:line="300" w:lineRule="auto"/>
        <w:ind w:left="540" w:hanging="271"/>
      </w:pPr>
      <w:r>
        <w:rPr>
          <w:rFonts w:ascii="Calibri" w:hAnsi="Calibri"/>
          <w:color w:val="35383B"/>
          <w:sz w:val="22"/>
        </w:rPr>
        <w:t>finale Value Proposition und Copy Deck</w:t>
      </w:r>
    </w:p>
    <w:p>
      <w:pPr>
        <w:pStyle w:val="ListBullet"/>
        <w:keepNext w:val="0"/>
        <w:widowControl/>
        <w:spacing w:before="0" w:after="80" w:line="300" w:lineRule="auto"/>
        <w:ind w:left="540" w:hanging="271"/>
      </w:pPr>
      <w:r>
        <w:rPr>
          <w:rFonts w:ascii="Calibri" w:hAnsi="Calibri"/>
          <w:color w:val="35383B"/>
          <w:sz w:val="22"/>
        </w:rPr>
        <w:t>technische Betriebs- und Deployment-Hinweise</w:t>
      </w:r>
    </w:p>
    <w:p>
      <w:pPr>
        <w:pStyle w:val="ListBullet"/>
        <w:keepNext w:val="0"/>
        <w:widowControl/>
        <w:spacing w:before="0" w:after="80" w:line="300" w:lineRule="auto"/>
        <w:ind w:left="540" w:hanging="271"/>
      </w:pPr>
      <w:r>
        <w:rPr>
          <w:rFonts w:ascii="Calibri" w:hAnsi="Calibri"/>
          <w:color w:val="35383B"/>
          <w:sz w:val="22"/>
        </w:rPr>
        <w:t>komplette statische Landingpage mit finalem Rechnungsasset</w:t>
      </w:r>
    </w:p>
    <w:p>
      <w:pPr>
        <w:pStyle w:val="ListBullet"/>
        <w:keepNext w:val="0"/>
        <w:widowControl/>
        <w:spacing w:before="0" w:after="80" w:line="300" w:lineRule="auto"/>
        <w:ind w:left="540" w:hanging="271"/>
      </w:pPr>
      <w:r>
        <w:rPr>
          <w:rFonts w:ascii="Calibri" w:hAnsi="Calibri"/>
          <w:color w:val="35383B"/>
          <w:sz w:val="22"/>
        </w:rPr>
        <w:t>Artefaktverzeichnis und offene Entscheidungen</w:t>
      </w:r>
    </w:p>
    <w:p>
      <w:r>
        <w:br w:type="page"/>
      </w:r>
    </w:p>
    <w:p>
      <w:pPr>
        <w:keepNext/>
        <w:widowControl/>
        <w:spacing w:before="0" w:after="60" w:line="240" w:lineRule="auto"/>
      </w:pPr>
      <w:r>
        <w:rPr>
          <w:rFonts w:ascii="Arial" w:hAnsi="Arial"/>
          <w:b/>
          <w:color w:val="3198D0"/>
          <w:sz w:val="18"/>
        </w:rPr>
        <w:t>EXECUTIVE SUMMARY</w:t>
      </w:r>
    </w:p>
    <w:p>
      <w:pPr>
        <w:pStyle w:val="Heading1"/>
      </w:pPr>
      <w:r>
        <w:t>1. Übergabestatus</w:t>
      </w:r>
    </w:p>
    <w:p>
      <w:pPr>
        <w:keepNext w:val="0"/>
        <w:widowControl/>
        <w:spacing w:before="0" w:after="120" w:line="300" w:lineRule="auto"/>
      </w:pPr>
      <w:r>
        <w:rPr>
          <w:rFonts w:ascii="Calibri" w:hAnsi="Calibri"/>
          <w:color w:val="35383B"/>
        </w:rPr>
        <w:t>ClearDoc ist als deutscher Landingpage-Prototyp umgesetzt. Die Seite validiert das Interesse an einer lokal betriebenen KI-Prüfung für ambulante Schweizer Arztrechnungen. Sie erklärt den Nutzen, macht die Vorschlagslogik anhand einer TARDOC-Beispielrechnung nachvollziehbar, quantifiziert ein veränderbares Jahresszenario und sammelt Pilotinteresse über ein Formspree-kompatibles Formular.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5EF"/>
            <w:tcBorders>
              <w:left w:val="single" w:sz="22" w:color="24795F"/>
            </w:tcBorders>
          </w:tcPr>
          <w:p>
            <w:pPr>
              <w:keepNext w:val="0"/>
              <w:widowControl/>
              <w:spacing w:before="0" w:after="40" w:line="276" w:lineRule="auto"/>
            </w:pPr>
            <w:r>
              <w:rPr>
                <w:rFonts w:ascii="Calibri" w:hAnsi="Calibri"/>
                <w:b/>
                <w:color w:val="24795F"/>
                <w:sz w:val="21"/>
              </w:rPr>
              <w:t>Wichtig</w:t>
            </w:r>
          </w:p>
          <w:p>
            <w:pPr>
              <w:keepNext w:val="0"/>
              <w:widowControl/>
              <w:spacing w:before="0" w:after="0" w:line="288" w:lineRule="auto"/>
            </w:pPr>
            <w:r>
              <w:rPr>
                <w:rFonts w:ascii="Calibri" w:hAnsi="Calibri"/>
                <w:color w:val="35383B"/>
                <w:sz w:val="21"/>
              </w:rPr>
              <w:t>Die Seite ist ein Validierungsinstrument. Tariflogik, Datenschutzclaims, lokale Betriebsarchitektur und Formspree-Konfiguration müssen vor einem öffentlichen oder produktiven Einsatz fachlich und rechtlich abgenommen werden.</w:t>
            </w:r>
          </w:p>
        </w:tc>
      </w:tr>
    </w:tbl>
    <w:p>
      <w:pPr>
        <w:keepNext w:val="0"/>
        <w:widowControl/>
        <w:spacing w:before="0" w:after="40" w:line="240" w:lineRule="auto"/>
      </w:pPr>
    </w:p>
    <w:p>
      <w:pPr>
        <w:pStyle w:val="Heading2"/>
      </w:pPr>
      <w:r>
        <w:t>Aktueller Scope</w:t>
      </w:r>
    </w:p>
    <w:p>
      <w:pPr>
        <w:pStyle w:val="ListBullet"/>
        <w:keepNext w:val="0"/>
        <w:widowControl/>
        <w:spacing w:before="0" w:after="80" w:line="300" w:lineRule="auto"/>
        <w:ind w:left="540" w:hanging="271"/>
      </w:pPr>
      <w:r>
        <w:rPr>
          <w:rFonts w:ascii="Calibri" w:hAnsi="Calibri"/>
          <w:color w:val="35383B"/>
          <w:sz w:val="22"/>
        </w:rPr>
        <w:t>TARDOC-orientierte Prüfung von Rechnungsentwurf und belegenden Datenquellen</w:t>
      </w:r>
    </w:p>
    <w:p>
      <w:pPr>
        <w:pStyle w:val="ListBullet"/>
        <w:keepNext w:val="0"/>
        <w:widowControl/>
        <w:spacing w:before="0" w:after="80" w:line="300" w:lineRule="auto"/>
        <w:ind w:left="540" w:hanging="271"/>
      </w:pPr>
      <w:r>
        <w:rPr>
          <w:rFonts w:ascii="Calibri" w:hAnsi="Calibri"/>
          <w:color w:val="35383B"/>
          <w:sz w:val="22"/>
        </w:rPr>
        <w:t>lokale Verarbeitung als zentrales Vertrauensversprechen</w:t>
      </w:r>
    </w:p>
    <w:p>
      <w:pPr>
        <w:pStyle w:val="ListBullet"/>
        <w:keepNext w:val="0"/>
        <w:widowControl/>
        <w:spacing w:before="0" w:after="80" w:line="300" w:lineRule="auto"/>
        <w:ind w:left="540" w:hanging="271"/>
      </w:pPr>
      <w:r>
        <w:rPr>
          <w:rFonts w:ascii="Calibri" w:hAnsi="Calibri"/>
          <w:color w:val="35383B"/>
          <w:sz w:val="22"/>
        </w:rPr>
        <w:t>begründete Hinweise statt automatischer Rechnungsänderungen</w:t>
      </w:r>
    </w:p>
    <w:p>
      <w:pPr>
        <w:pStyle w:val="ListBullet"/>
        <w:keepNext w:val="0"/>
        <w:widowControl/>
        <w:spacing w:before="0" w:after="80" w:line="300" w:lineRule="auto"/>
        <w:ind w:left="540" w:hanging="271"/>
      </w:pPr>
      <w:r>
        <w:rPr>
          <w:rFonts w:ascii="Calibri" w:hAnsi="Calibri"/>
          <w:color w:val="35383B"/>
          <w:sz w:val="22"/>
        </w:rPr>
        <w:t>responsive Landingpage ohne Build-Prozess oder Backend</w:t>
      </w:r>
    </w:p>
    <w:p>
      <w:pPr>
        <w:pStyle w:val="ListBullet"/>
        <w:keepNext w:val="0"/>
        <w:widowControl/>
        <w:spacing w:before="0" w:after="80" w:line="300" w:lineRule="auto"/>
        <w:ind w:left="540" w:hanging="271"/>
      </w:pPr>
      <w:r>
        <w:rPr>
          <w:rFonts w:ascii="Calibri" w:hAnsi="Calibri"/>
          <w:color w:val="35383B"/>
          <w:sz w:val="22"/>
        </w:rPr>
        <w:t>Pionierprogramm im sicheren Schattenbetrieb</w:t>
      </w:r>
    </w:p>
    <w:p>
      <w:pPr>
        <w:pStyle w:val="Heading2"/>
      </w:pPr>
      <w:r>
        <w:t>Noch nicht im Scope</w:t>
      </w:r>
    </w:p>
    <w:p>
      <w:pPr>
        <w:pStyle w:val="ListBullet"/>
        <w:keepNext w:val="0"/>
        <w:widowControl/>
        <w:spacing w:before="0" w:after="80" w:line="300" w:lineRule="auto"/>
        <w:ind w:left="540" w:hanging="271"/>
      </w:pPr>
      <w:r>
        <w:rPr>
          <w:rFonts w:ascii="Calibri" w:hAnsi="Calibri"/>
          <w:color w:val="35383B"/>
          <w:sz w:val="22"/>
        </w:rPr>
        <w:t>produktive Integration in Praxissoftware, Telefonie oder Zeiterfassung</w:t>
      </w:r>
    </w:p>
    <w:p>
      <w:pPr>
        <w:pStyle w:val="ListBullet"/>
        <w:keepNext w:val="0"/>
        <w:widowControl/>
        <w:spacing w:before="0" w:after="80" w:line="300" w:lineRule="auto"/>
        <w:ind w:left="540" w:hanging="271"/>
      </w:pPr>
      <w:r>
        <w:rPr>
          <w:rFonts w:ascii="Calibri" w:hAnsi="Calibri"/>
          <w:color w:val="35383B"/>
          <w:sz w:val="22"/>
        </w:rPr>
        <w:t>validiertes tarifliches Regelwerk und laufendes Versionierungsmodell</w:t>
      </w:r>
    </w:p>
    <w:p>
      <w:pPr>
        <w:pStyle w:val="ListBullet"/>
        <w:keepNext w:val="0"/>
        <w:widowControl/>
        <w:spacing w:before="0" w:after="80" w:line="300" w:lineRule="auto"/>
        <w:ind w:left="540" w:hanging="271"/>
      </w:pPr>
      <w:r>
        <w:rPr>
          <w:rFonts w:ascii="Calibri" w:hAnsi="Calibri"/>
          <w:color w:val="35383B"/>
          <w:sz w:val="22"/>
        </w:rPr>
        <w:t>Zusatzversicherungslogik und Versicherer-spezifische Vertragsregeln</w:t>
      </w:r>
    </w:p>
    <w:p>
      <w:pPr>
        <w:pStyle w:val="ListBullet"/>
        <w:keepNext w:val="0"/>
        <w:widowControl/>
        <w:spacing w:before="0" w:after="80" w:line="300" w:lineRule="auto"/>
        <w:ind w:left="540" w:hanging="271"/>
      </w:pPr>
      <w:r>
        <w:rPr>
          <w:rFonts w:ascii="Calibri" w:hAnsi="Calibri"/>
          <w:color w:val="35383B"/>
          <w:sz w:val="22"/>
        </w:rPr>
        <w:t>Produktionsbetrieb, Benutzerverwaltung, Audit-Logging und Supportprozesse</w:t>
      </w:r>
    </w:p>
    <w:p>
      <w:pPr>
        <w:pStyle w:val="Heading1"/>
      </w:pPr>
      <w:r>
        <w:t>2. Value Proposition</w:t>
      </w:r>
    </w:p>
    <w:p>
      <w:pPr>
        <w:keepNext w:val="0"/>
        <w:widowControl/>
        <w:spacing w:before="0" w:after="120" w:line="300" w:lineRule="auto"/>
      </w:pPr>
      <w:r>
        <w:rPr>
          <w:rFonts w:ascii="Calibri" w:hAnsi="Calibri"/>
          <w:color w:val="35383B"/>
        </w:rPr>
        <w:t>ClearDoc ist eine lokal betriebene, auf Schweizer Tariflogik spezialisierte KI-Prüfschicht. Sie unterstützt Arztpraxen dabei, erbrachte, dokumentierte und tarifkonforme Leistungen vor dem Rechnungsversand vollständig und nachvollziehbar zu verrechnen.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4FA"/>
            <w:tcBorders>
              <w:left w:val="single" w:sz="22" w:color="075E8D"/>
            </w:tcBorders>
          </w:tcPr>
          <w:p>
            <w:pPr>
              <w:keepNext w:val="0"/>
              <w:widowControl/>
              <w:spacing w:before="0" w:after="40" w:line="276" w:lineRule="auto"/>
            </w:pPr>
            <w:r>
              <w:rPr>
                <w:rFonts w:ascii="Calibri" w:hAnsi="Calibri"/>
                <w:b/>
                <w:color w:val="075E8D"/>
                <w:sz w:val="21"/>
              </w:rPr>
              <w:t>Kernversprechen</w:t>
            </w:r>
          </w:p>
          <w:p>
            <w:pPr>
              <w:keepNext w:val="0"/>
              <w:widowControl/>
              <w:spacing w:before="0" w:after="0" w:line="288" w:lineRule="auto"/>
            </w:pPr>
            <w:r>
              <w:rPr>
                <w:rFonts w:ascii="Calibri" w:hAnsi="Calibri"/>
                <w:color w:val="35383B"/>
                <w:sz w:val="21"/>
              </w:rPr>
              <w:t>Jede erbrachte Leistung. Korrekt verrechnet. Patientendaten bleiben in der Praxis.</w:t>
            </w:r>
          </w:p>
        </w:tc>
      </w:tr>
    </w:tbl>
    <w:p>
      <w:pPr>
        <w:keepNext w:val="0"/>
        <w:widowControl/>
        <w:spacing w:before="0" w:after="40" w:line="240" w:lineRule="auto"/>
      </w:pPr>
    </w:p>
    <w:p>
      <w:pPr>
        <w:pStyle w:val="Heading2"/>
      </w:pPr>
      <w:r>
        <w:t>Zielgruppen</w:t>
      </w:r>
    </w:p>
    <w:p>
      <w:pPr>
        <w:pStyle w:val="ListBullet"/>
        <w:keepNext w:val="0"/>
        <w:widowControl/>
        <w:spacing w:before="0" w:after="80" w:line="300" w:lineRule="auto"/>
        <w:ind w:left="540" w:hanging="271"/>
      </w:pPr>
      <w:r>
        <w:rPr>
          <w:rFonts w:ascii="Calibri" w:hAnsi="Calibri"/>
          <w:color w:val="35383B"/>
          <w:sz w:val="22"/>
        </w:rPr>
        <w:t>Externe Ansprache: alle Arztpraxen</w:t>
      </w:r>
    </w:p>
    <w:p>
      <w:pPr>
        <w:pStyle w:val="ListBullet"/>
        <w:keepNext w:val="0"/>
        <w:widowControl/>
        <w:spacing w:before="0" w:after="80" w:line="300" w:lineRule="auto"/>
        <w:ind w:left="540" w:hanging="271"/>
      </w:pPr>
      <w:r>
        <w:rPr>
          <w:rFonts w:ascii="Calibri" w:hAnsi="Calibri"/>
          <w:color w:val="35383B"/>
          <w:sz w:val="22"/>
        </w:rPr>
        <w:t>Anwender: Ärztinnen und Ärzte, MPAs, Abrechnungsspezialist:innen und Praxismanager:innen</w:t>
      </w:r>
    </w:p>
    <w:p>
      <w:pPr>
        <w:pStyle w:val="ListBullet"/>
        <w:keepNext w:val="0"/>
        <w:widowControl/>
        <w:spacing w:before="0" w:after="80" w:line="300" w:lineRule="auto"/>
        <w:ind w:left="540" w:hanging="271"/>
      </w:pPr>
      <w:r>
        <w:rPr>
          <w:rFonts w:ascii="Calibri" w:hAnsi="Calibri"/>
          <w:color w:val="35383B"/>
          <w:sz w:val="22"/>
        </w:rPr>
        <w:t>Käufer: Praxisinhaber:innen, Gruppenpraxen und ambulante medizinische Zentren</w:t>
      </w:r>
    </w:p>
    <w:p>
      <w:pPr>
        <w:pStyle w:val="ListBullet"/>
        <w:keepNext w:val="0"/>
        <w:widowControl/>
        <w:spacing w:before="0" w:after="80" w:line="300" w:lineRule="auto"/>
        <w:ind w:left="540" w:hanging="271"/>
      </w:pPr>
      <w:r>
        <w:rPr>
          <w:rFonts w:ascii="Calibri" w:hAnsi="Calibri"/>
          <w:color w:val="35383B"/>
          <w:sz w:val="22"/>
        </w:rPr>
        <w:t>Erste Validierung: Praxen mit relevantem Rechnungsvolumen und manueller Prüfbelastung</w:t>
      </w:r>
    </w:p>
    <w:p>
      <w:pPr>
        <w:pStyle w:val="Heading2"/>
      </w:pPr>
      <w:r>
        <w:t>Nutzenpfeiler</w:t>
      </w:r>
    </w:p>
    <w:p>
      <w:pPr>
        <w:keepNext w:val="0"/>
        <w:widowControl/>
        <w:spacing w:before="0" w:after="120" w:line="300" w:lineRule="auto"/>
      </w:pPr>
      <w:r>
        <w:rPr>
          <w:rFonts w:ascii="Calibri" w:hAnsi="Calibri"/>
          <w:b/>
          <w:color w:val="35383B"/>
        </w:rPr>
        <w:t>Vollständig:</w:t>
      </w:r>
      <w:r>
        <w:rPr>
          <w:rFonts w:ascii="Calibri" w:hAnsi="Calibri"/>
          <w:color w:val="35383B"/>
        </w:rPr>
        <w:t xml:space="preserve"> Erkennt dokumentierte Leistungen, die im Rechnungsentwurf fehlen könnten.</w:t>
      </w:r>
    </w:p>
    <w:p>
      <w:pPr>
        <w:keepNext w:val="0"/>
        <w:widowControl/>
        <w:spacing w:before="0" w:after="120" w:line="300" w:lineRule="auto"/>
      </w:pPr>
      <w:r>
        <w:rPr>
          <w:rFonts w:ascii="Calibri" w:hAnsi="Calibri"/>
          <w:b/>
          <w:color w:val="35383B"/>
        </w:rPr>
        <w:t>Nachvollziehbar:</w:t>
      </w:r>
      <w:r>
        <w:rPr>
          <w:rFonts w:ascii="Calibri" w:hAnsi="Calibri"/>
          <w:color w:val="35383B"/>
        </w:rPr>
        <w:t xml:space="preserve"> Verweist auf Dokumentation, Zeitquelle, Tarifposition, Regelversion und finanziellen Effekt.</w:t>
      </w:r>
    </w:p>
    <w:p>
      <w:pPr>
        <w:keepNext w:val="0"/>
        <w:widowControl/>
        <w:spacing w:before="0" w:after="120" w:line="300" w:lineRule="auto"/>
      </w:pPr>
      <w:r>
        <w:rPr>
          <w:rFonts w:ascii="Calibri" w:hAnsi="Calibri"/>
          <w:b/>
          <w:color w:val="35383B"/>
        </w:rPr>
        <w:t>Vertraulich:</w:t>
      </w:r>
      <w:r>
        <w:rPr>
          <w:rFonts w:ascii="Calibri" w:hAnsi="Calibri"/>
          <w:color w:val="35383B"/>
        </w:rPr>
        <w:t xml:space="preserve"> Analysiert klinische und abrechnungsbezogene Daten in der kontrollierten Praxisinfrastruktur.</w:t>
      </w:r>
    </w:p>
    <w:p>
      <w:pPr>
        <w:keepNext/>
        <w:widowControl/>
        <w:spacing w:before="0" w:after="60" w:line="240" w:lineRule="auto"/>
      </w:pPr>
      <w:r>
        <w:rPr>
          <w:rFonts w:ascii="Arial" w:hAnsi="Arial"/>
          <w:b/>
          <w:color w:val="3198D0"/>
          <w:sz w:val="18"/>
        </w:rPr>
        <w:t>PRODUKTLOGIK</w:t>
      </w:r>
    </w:p>
    <w:p>
      <w:pPr>
        <w:pStyle w:val="Heading1"/>
      </w:pPr>
      <w:r>
        <w:t>3. So soll ClearDoc arbeiten</w:t>
      </w:r>
    </w:p>
    <w:p>
      <w:pPr>
        <w:keepNext w:val="0"/>
        <w:widowControl/>
        <w:spacing w:before="0" w:after="120" w:line="300" w:lineRule="auto"/>
      </w:pPr>
      <w:r>
        <w:rPr>
          <w:rFonts w:ascii="Calibri" w:hAnsi="Calibri"/>
          <w:color w:val="35383B"/>
        </w:rPr>
        <w:t>Das Produkt darf keine zusätzliche Konsultationszeit oder Leistung aus dem Nichts ableiten. Der Vorschlag muss aus überprüfbaren Datenquellen entstehen und für die freigebende Person vollständig nachvollziehbar sein.</w:t>
      </w:r>
    </w:p>
    <w:p>
      <w:pPr>
        <w:keepNext w:val="0"/>
        <w:widowControl/>
        <w:numPr>
          <w:ilvl w:val="0"/>
          <w:numId w:val="100"/>
        </w:numPr>
        <w:spacing w:before="0" w:after="80" w:line="300" w:lineRule="auto"/>
      </w:pPr>
      <w:r>
        <w:rPr>
          <w:rFonts w:ascii="Calibri" w:hAnsi="Calibri"/>
          <w:color w:val="35383B"/>
          <w:sz w:val="22"/>
        </w:rPr>
        <w:t>Rechnungsentwurf einlesen.</w:t>
      </w:r>
    </w:p>
    <w:p>
      <w:pPr>
        <w:keepNext w:val="0"/>
        <w:widowControl/>
        <w:numPr>
          <w:ilvl w:val="0"/>
          <w:numId w:val="100"/>
        </w:numPr>
        <w:spacing w:before="0" w:after="80" w:line="300" w:lineRule="auto"/>
      </w:pPr>
      <w:r>
        <w:rPr>
          <w:rFonts w:ascii="Calibri" w:hAnsi="Calibri"/>
          <w:color w:val="35383B"/>
          <w:sz w:val="22"/>
        </w:rPr>
        <w:t>Behandlungsdokumentation und relevante strukturierte Quellen lokal abgleichen.</w:t>
      </w:r>
    </w:p>
    <w:p>
      <w:pPr>
        <w:keepNext w:val="0"/>
        <w:widowControl/>
        <w:numPr>
          <w:ilvl w:val="0"/>
          <w:numId w:val="100"/>
        </w:numPr>
        <w:spacing w:before="0" w:after="80" w:line="300" w:lineRule="auto"/>
      </w:pPr>
      <w:r>
        <w:rPr>
          <w:rFonts w:ascii="Calibri" w:hAnsi="Calibri"/>
          <w:color w:val="35383B"/>
          <w:sz w:val="22"/>
        </w:rPr>
        <w:t>TARDOC-Positionen, Limitationen, Zeitbezug und gegebenenfalls Pauschalenvorrang prüfen.</w:t>
      </w:r>
    </w:p>
    <w:p>
      <w:pPr>
        <w:keepNext w:val="0"/>
        <w:widowControl/>
        <w:numPr>
          <w:ilvl w:val="0"/>
          <w:numId w:val="100"/>
        </w:numPr>
        <w:spacing w:before="0" w:after="80" w:line="300" w:lineRule="auto"/>
      </w:pPr>
      <w:r>
        <w:rPr>
          <w:rFonts w:ascii="Calibri" w:hAnsi="Calibri"/>
          <w:color w:val="35383B"/>
          <w:sz w:val="22"/>
        </w:rPr>
        <w:t>Nur belegte Abweichungen mit Quelle, Regel und Betrag als Vorschlag anzeigen.</w:t>
      </w:r>
    </w:p>
    <w:p>
      <w:pPr>
        <w:keepNext w:val="0"/>
        <w:widowControl/>
        <w:numPr>
          <w:ilvl w:val="0"/>
          <w:numId w:val="100"/>
        </w:numPr>
        <w:spacing w:before="0" w:after="80" w:line="300" w:lineRule="auto"/>
      </w:pPr>
      <w:r>
        <w:rPr>
          <w:rFonts w:ascii="Calibri" w:hAnsi="Calibri"/>
          <w:color w:val="35383B"/>
          <w:sz w:val="22"/>
        </w:rPr>
        <w:t>Ärztliche oder autorisierte menschliche Freigabe einholen; nichts automatisch buchen.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4FA"/>
            <w:tcBorders>
              <w:left w:val="single" w:sz="22" w:color="075E8D"/>
            </w:tcBorders>
          </w:tcPr>
          <w:p>
            <w:pPr>
              <w:keepNext w:val="0"/>
              <w:widowControl/>
              <w:spacing w:before="0" w:after="40" w:line="276" w:lineRule="auto"/>
            </w:pPr>
            <w:r>
              <w:rPr>
                <w:rFonts w:ascii="Calibri" w:hAnsi="Calibri"/>
                <w:b/>
                <w:color w:val="075E8D"/>
                <w:sz w:val="21"/>
              </w:rPr>
              <w:t>Guardrail</w:t>
            </w:r>
          </w:p>
          <w:p>
            <w:pPr>
              <w:keepNext w:val="0"/>
              <w:widowControl/>
              <w:spacing w:before="0" w:after="0" w:line="288" w:lineRule="auto"/>
            </w:pPr>
            <w:r>
              <w:rPr>
                <w:rFonts w:ascii="Calibri" w:hAnsi="Calibri"/>
                <w:color w:val="35383B"/>
                <w:sz w:val="21"/>
              </w:rPr>
              <w:t>Keine Zeitquelle, kein Vorschlag. Keine automatische Buchung. Menschliche Freigabe bleibt zwingend.</w:t>
            </w:r>
          </w:p>
        </w:tc>
      </w:tr>
    </w:tbl>
    <w:p>
      <w:pPr>
        <w:keepNext w:val="0"/>
        <w:widowControl/>
        <w:spacing w:before="0" w:after="40" w:line="240" w:lineRule="auto"/>
      </w:pPr>
    </w:p>
    <w:p>
      <w:pPr>
        <w:pStyle w:val="Heading1"/>
      </w:pPr>
      <w:r>
        <w:t>4. Rechnungsbeispiel</w:t>
      </w:r>
    </w:p>
    <w:p>
      <w:pPr>
        <w:keepNext w:val="0"/>
        <w:widowControl/>
        <w:spacing w:before="0" w:after="120" w:line="300" w:lineRule="auto"/>
      </w:pPr>
      <w:r>
        <w:rPr>
          <w:rFonts w:ascii="Calibri" w:hAnsi="Calibri"/>
          <w:color w:val="35383B"/>
        </w:rPr>
        <w:t>Die Landingpage zeigt eine telefonische Konsultation von acht Minuten. Im ursprünglichen Entwurf sind nur die ersten fünf Minuten verrechnet. Die drei dokumentierten zusätzlichen Minuten führen zu einem Prüfvorschlag für AA.10.0020 x 3.</w:t>
      </w:r>
    </w:p>
    <w:p>
      <w:r>
        <w:br w:type="page"/>
      </w:r>
    </w:p>
    <w:tbl>
      <w:tblPr>
        <w:tblW w:type="dxa" w:w="9360"/>
        <w:tblLayout w:type="fixed"/>
        <w:tblLook w:firstColumn="1" w:firstRow="1" w:lastColumn="0" w:lastRow="0" w:noHBand="0" w:noVBand="1" w:val="04A0"/>
        <w:jc w:val="left"/>
        <w:tblInd w:w="120" w:type="dxa"/>
      </w:tblPr>
      <w:tblGrid>
        <w:gridCol w:w="2700"/>
        <w:gridCol w:w="3000"/>
        <w:gridCol w:w="3660"/>
      </w:tblGrid>
      <w:tr>
        <w:trPr>
          <w:tblHeader w:val="true"/>
        </w:trPr>
        <w:tc>
          <w:tcPr>
            <w:tcW w:type="dxa" w:w="270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Element</w:t>
            </w:r>
          </w:p>
        </w:tc>
        <w:tc>
          <w:tcPr>
            <w:tcW w:type="dxa" w:w="300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Rechnungsentwurf</w:t>
            </w:r>
          </w:p>
        </w:tc>
        <w:tc>
          <w:tcPr>
            <w:tcW w:type="dxa" w:w="366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ClearDoc-Vorschlag</w:t>
            </w:r>
          </w:p>
        </w:tc>
      </w:tr>
      <w:tr>
        <w:tc>
          <w:tcPr>
            <w:tcW w:type="dxa" w:w="27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Telefonische Konsultation</w:t>
            </w:r>
          </w:p>
        </w:tc>
        <w:tc>
          <w:tcPr>
            <w:tcW w:type="dxa" w:w="3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Erste 5 Min.</w:t>
            </w:r>
          </w:p>
        </w:tc>
        <w:tc>
          <w:tcPr>
            <w:tcW w:type="dxa" w:w="36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3 weitere dokumentierte Min.</w:t>
            </w:r>
          </w:p>
        </w:tc>
      </w:tr>
      <w:tr>
        <w:tc>
          <w:tcPr>
            <w:tcW w:type="dxa" w:w="27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TARDOC-Position</w:t>
            </w:r>
          </w:p>
        </w:tc>
        <w:tc>
          <w:tcPr>
            <w:tcW w:type="dxa" w:w="3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AA.10.0010</w:t>
            </w:r>
          </w:p>
        </w:tc>
        <w:tc>
          <w:tcPr>
            <w:tcW w:type="dxa" w:w="36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AA.10.0020 x 3</w:t>
            </w:r>
          </w:p>
        </w:tc>
      </w:tr>
      <w:tr>
        <w:tc>
          <w:tcPr>
            <w:tcW w:type="dxa" w:w="27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Rechnungsbetrag</w:t>
            </w:r>
          </w:p>
        </w:tc>
        <w:tc>
          <w:tcPr>
            <w:tcW w:type="dxa" w:w="3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CHF 257.17</w:t>
            </w:r>
          </w:p>
        </w:tc>
        <w:tc>
          <w:tcPr>
            <w:tcW w:type="dxa" w:w="36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CHF 286.40 nach Freigabe</w:t>
            </w:r>
          </w:p>
        </w:tc>
      </w:tr>
      <w:tr>
        <w:tc>
          <w:tcPr>
            <w:tcW w:type="dxa" w:w="27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Finanzieller Effekt</w:t>
            </w:r>
          </w:p>
        </w:tc>
        <w:tc>
          <w:tcPr>
            <w:tcW w:type="dxa" w:w="3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w:t>
            </w:r>
          </w:p>
        </w:tc>
        <w:tc>
          <w:tcPr>
            <w:tcW w:type="dxa" w:w="36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 CHF 29.23</w:t>
            </w:r>
          </w:p>
        </w:tc>
      </w:tr>
    </w:tbl>
    <w:p>
      <w:pPr>
        <w:keepNext w:val="0"/>
        <w:widowControl/>
        <w:spacing w:before="0" w:after="40" w:line="240" w:lineRule="auto"/>
      </w:pPr>
    </w:p>
    <w:p>
      <w:pPr>
        <w:keepNext w:val="0"/>
        <w:widowControl/>
        <w:spacing w:before="0" w:after="120" w:line="300" w:lineRule="auto"/>
      </w:pPr>
      <w:r>
        <w:rPr>
          <w:rFonts w:ascii="Calibri" w:hAnsi="Calibri"/>
          <w:color w:val="35383B"/>
        </w:rPr>
        <w:t>Die blau markierte Zeile in tardoc-rechnung-beispiel-v4.png erklärt die vorgesehene Prüfung. Das Beispiel ist keine pauschale Marktstatistik und keine Abrechnungsempfehlung ohne Fallkontext.</w:t>
      </w:r>
    </w:p>
    <w:p>
      <w:pPr>
        <w:pStyle w:val="Heading1"/>
      </w:pPr>
      <w:r>
        <w:t>5. Jahresszenario</w:t>
      </w:r>
    </w:p>
    <w:p>
      <w:pPr>
        <w:keepNext w:val="0"/>
        <w:widowControl/>
        <w:spacing w:before="0" w:after="120" w:line="300" w:lineRule="auto"/>
      </w:pPr>
      <w:r>
        <w:rPr>
          <w:rFonts w:ascii="Calibri" w:hAnsi="Calibri"/>
          <w:color w:val="35383B"/>
        </w:rPr>
        <w:t>Die Seite verwendet als Standardannahme 6'800 Rechnungen pro Jahr, CHF 155 durchschnittlichen Rechnungsbetrag und einen frei veränderbaren Anteil von 2,0 %. Daraus resultiert ein dargestelltes Potenzial von CHF 21'080.</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4FA"/>
            <w:tcBorders>
              <w:left w:val="single" w:sz="22" w:color="075E8D"/>
            </w:tcBorders>
          </w:tcPr>
          <w:p>
            <w:pPr>
              <w:keepNext w:val="0"/>
              <w:widowControl/>
              <w:spacing w:before="0" w:after="40" w:line="276" w:lineRule="auto"/>
            </w:pPr>
            <w:r>
              <w:rPr>
                <w:rFonts w:ascii="Calibri" w:hAnsi="Calibri"/>
                <w:b/>
                <w:color w:val="075E8D"/>
                <w:sz w:val="21"/>
              </w:rPr>
              <w:t>Modellrechnung</w:t>
            </w:r>
          </w:p>
          <w:p>
            <w:pPr>
              <w:keepNext w:val="0"/>
              <w:widowControl/>
              <w:spacing w:before="0" w:after="0" w:line="288" w:lineRule="auto"/>
            </w:pPr>
            <w:r>
              <w:rPr>
                <w:rFonts w:ascii="Calibri" w:hAnsi="Calibri"/>
                <w:color w:val="35383B"/>
                <w:sz w:val="21"/>
              </w:rPr>
              <w:t>6'800 x CHF 155 x 2,0 % = CHF 21'080. Die 6'800 Rechnungen und der Prozentwert sind Annahmen; die Darstellung ist keine Ertragsgarantie.</w:t>
            </w:r>
          </w:p>
        </w:tc>
      </w:tr>
    </w:tbl>
    <w:p>
      <w:pPr>
        <w:keepNext w:val="0"/>
        <w:widowControl/>
        <w:spacing w:before="0" w:after="40" w:line="240" w:lineRule="auto"/>
      </w:pPr>
    </w:p>
    <w:p>
      <w:pPr>
        <w:keepNext/>
        <w:widowControl/>
        <w:spacing w:before="0" w:after="60" w:line="240" w:lineRule="auto"/>
      </w:pPr>
      <w:r>
        <w:rPr>
          <w:rFonts w:ascii="Arial" w:hAnsi="Arial"/>
          <w:b/>
          <w:color w:val="3198D0"/>
          <w:sz w:val="18"/>
        </w:rPr>
        <w:t>VERTRAUEN UND GOVERNANCE</w:t>
      </w:r>
    </w:p>
    <w:p>
      <w:pPr>
        <w:pStyle w:val="Heading1"/>
      </w:pPr>
      <w:r>
        <w:t>6. Datenschutz- und Compliance-Leitplanken</w:t>
      </w:r>
    </w:p>
    <w:p>
      <w:pPr>
        <w:pStyle w:val="ListBullet"/>
        <w:keepNext w:val="0"/>
        <w:widowControl/>
        <w:spacing w:before="0" w:after="80" w:line="300" w:lineRule="auto"/>
        <w:ind w:left="540" w:hanging="271"/>
      </w:pPr>
      <w:r>
        <w:rPr>
          <w:rFonts w:ascii="Calibri" w:hAnsi="Calibri"/>
          <w:color w:val="35383B"/>
          <w:sz w:val="22"/>
        </w:rPr>
        <w:t>Patientendaten sollen die kontrollierte Praxisumgebung nicht verlassen.</w:t>
      </w:r>
    </w:p>
    <w:p>
      <w:pPr>
        <w:pStyle w:val="ListBullet"/>
        <w:keepNext w:val="0"/>
        <w:widowControl/>
        <w:spacing w:before="0" w:after="80" w:line="300" w:lineRule="auto"/>
        <w:ind w:left="540" w:hanging="271"/>
      </w:pPr>
      <w:r>
        <w:rPr>
          <w:rFonts w:ascii="Calibri" w:hAnsi="Calibri"/>
          <w:color w:val="35383B"/>
          <w:sz w:val="22"/>
        </w:rPr>
        <w:t>Patientendaten sollen nicht zum Training allgemeiner Modelle verwendet werden.</w:t>
      </w:r>
    </w:p>
    <w:p>
      <w:pPr>
        <w:pStyle w:val="ListBullet"/>
        <w:keepNext w:val="0"/>
        <w:widowControl/>
        <w:spacing w:before="0" w:after="80" w:line="300" w:lineRule="auto"/>
        <w:ind w:left="540" w:hanging="271"/>
      </w:pPr>
      <w:r>
        <w:rPr>
          <w:rFonts w:ascii="Calibri" w:hAnsi="Calibri"/>
          <w:color w:val="35383B"/>
          <w:sz w:val="22"/>
        </w:rPr>
        <w:t>Jede Empfehlung muss fachlich belegbar, versionierbar und auditierbar sein.</w:t>
      </w:r>
    </w:p>
    <w:p>
      <w:pPr>
        <w:pStyle w:val="ListBullet"/>
        <w:keepNext w:val="0"/>
        <w:widowControl/>
        <w:spacing w:before="0" w:after="80" w:line="300" w:lineRule="auto"/>
        <w:ind w:left="540" w:hanging="271"/>
      </w:pPr>
      <w:r>
        <w:rPr>
          <w:rFonts w:ascii="Calibri" w:hAnsi="Calibri"/>
          <w:color w:val="35383B"/>
          <w:sz w:val="22"/>
        </w:rPr>
        <w:t>Keine Rechnung darf ohne menschliche Freigabe verändert oder versendet werden.</w:t>
      </w:r>
    </w:p>
    <w:p>
      <w:pPr>
        <w:pStyle w:val="ListBullet"/>
        <w:keepNext w:val="0"/>
        <w:widowControl/>
        <w:spacing w:before="0" w:after="80" w:line="300" w:lineRule="auto"/>
        <w:ind w:left="540" w:hanging="271"/>
      </w:pPr>
      <w:r>
        <w:rPr>
          <w:rFonts w:ascii="Calibri" w:hAnsi="Calibri"/>
          <w:color w:val="35383B"/>
          <w:sz w:val="22"/>
        </w:rPr>
        <w:t>Vor Einzelpositionslogik ist zu prüfen, ob eine ambulante Pauschale Vorrang hat.</w:t>
      </w:r>
    </w:p>
    <w:p>
      <w:pPr>
        <w:pStyle w:val="ListBullet"/>
        <w:keepNext w:val="0"/>
        <w:widowControl/>
        <w:spacing w:before="0" w:after="80" w:line="300" w:lineRule="auto"/>
        <w:ind w:left="540" w:hanging="271"/>
      </w:pPr>
      <w:r>
        <w:rPr>
          <w:rFonts w:ascii="Calibri" w:hAnsi="Calibri"/>
          <w:color w:val="35383B"/>
          <w:sz w:val="22"/>
        </w:rPr>
        <w:t>Grundversicherung und Zusatzversicherung benötigen getrennte Regelwerke.</w:t>
      </w:r>
    </w:p>
    <w:p>
      <w:pPr>
        <w:pStyle w:val="ListBullet"/>
        <w:keepNext w:val="0"/>
        <w:widowControl/>
        <w:spacing w:before="0" w:after="80" w:line="300" w:lineRule="auto"/>
        <w:ind w:left="540" w:hanging="271"/>
      </w:pPr>
      <w:r>
        <w:rPr>
          <w:rFonts w:ascii="Calibri" w:hAnsi="Calibri"/>
          <w:color w:val="35383B"/>
          <w:sz w:val="22"/>
        </w:rPr>
        <w:t>Konformitätsaussagen müssen die tatsächlich umgesetzte Architektur und den Betrieb widerspiegeln.</w:t>
      </w:r>
    </w:p>
    <w:p>
      <w:pPr>
        <w:pStyle w:val="Heading2"/>
      </w:pPr>
      <w:r>
        <w:t>Claim-Hygiene</w:t>
      </w:r>
    </w:p>
    <w:p>
      <w:pPr>
        <w:keepNext w:val="0"/>
        <w:widowControl/>
        <w:spacing w:before="0" w:after="120" w:line="300" w:lineRule="auto"/>
      </w:pPr>
      <w:r>
        <w:rPr>
          <w:rFonts w:ascii="Calibri" w:hAnsi="Calibri"/>
          <w:color w:val="35383B"/>
        </w:rPr>
        <w:t>Die aktuelle Kommunikation verwendet bewusst 'lokal', 'vertraulich' und 'Datenschutz by Design'. Vor einer öffentlichen Kampagne sollten Aussagen wie 'Patientendaten verlassen den Praxisrechner nicht' technisch beweisbar und vertraglich abgesichert sein. Begriffe wie 'zertifiziert', 'garantiert konform' oder pauschale Erlösversprechen sind ohne unabhängigen Nachweis zu vermeiden.</w:t>
      </w:r>
    </w:p>
    <w:p>
      <w:pPr>
        <w:pStyle w:val="Heading1"/>
      </w:pPr>
      <w:r>
        <w:t>7. Landingpage-Übergabe</w:t>
      </w:r>
    </w:p>
    <w:p>
      <w:pPr>
        <w:keepNext w:val="0"/>
        <w:widowControl/>
        <w:spacing w:before="0" w:after="120" w:line="300" w:lineRule="auto"/>
      </w:pPr>
      <w:r>
        <w:rPr>
          <w:rFonts w:ascii="Calibri" w:hAnsi="Calibri"/>
          <w:color w:val="35383B"/>
        </w:rPr>
        <w:t>Die Website ist eine statische One-Page-Landingpage mit klarer Nutzerführung vom Nutzenversprechen über die Rechnungslogik und den Datenschutz bis zur Anmeldung als Pionierpraxis.</w:t>
      </w:r>
    </w:p>
    <w:tbl>
      <w:tblPr>
        <w:tblW w:type="dxa" w:w="9360"/>
        <w:tblLayout w:type="fixed"/>
        <w:tblLook w:firstColumn="1" w:firstRow="1" w:lastColumn="0" w:lastRow="0" w:noHBand="0" w:noVBand="1" w:val="04A0"/>
        <w:jc w:val="left"/>
        <w:tblInd w:w="120" w:type="dxa"/>
      </w:tblPr>
      <w:tblGrid>
        <w:gridCol w:w="1900"/>
        <w:gridCol w:w="2500"/>
        <w:gridCol w:w="4960"/>
      </w:tblGrid>
      <w:tr>
        <w:trPr>
          <w:tblHeader w:val="true"/>
        </w:trPr>
        <w:tc>
          <w:tcPr>
            <w:tcW w:type="dxa" w:w="190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Abschnitt</w:t>
            </w:r>
          </w:p>
        </w:tc>
        <w:tc>
          <w:tcPr>
            <w:tcW w:type="dxa" w:w="250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Zweck</w:t>
            </w:r>
          </w:p>
        </w:tc>
        <w:tc>
          <w:tcPr>
            <w:tcW w:type="dxa" w:w="496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Kernaussage</w:t>
            </w:r>
          </w:p>
        </w:tc>
      </w:tr>
      <w:tr>
        <w:tc>
          <w:tcPr>
            <w:tcW w:type="dxa" w:w="1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Hero</w:t>
            </w:r>
          </w:p>
        </w:tc>
        <w:tc>
          <w:tcPr>
            <w:tcW w:type="dxa" w:w="25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Aufmerksamkeit</w:t>
            </w:r>
          </w:p>
        </w:tc>
        <w:tc>
          <w:tcPr>
            <w:tcW w:type="dxa" w:w="49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TARDOC. Klarer. Abrechnen.</w:t>
            </w:r>
          </w:p>
        </w:tc>
      </w:tr>
      <w:tr>
        <w:tc>
          <w:tcPr>
            <w:tcW w:type="dxa" w:w="1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Value Proposition</w:t>
            </w:r>
          </w:p>
        </w:tc>
        <w:tc>
          <w:tcPr>
            <w:tcW w:type="dxa" w:w="25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Nutzen</w:t>
            </w:r>
          </w:p>
        </w:tc>
        <w:tc>
          <w:tcPr>
            <w:tcW w:type="dxa" w:w="49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Vollständig, nachvollziehbar, vertraulich</w:t>
            </w:r>
          </w:p>
        </w:tc>
      </w:tr>
      <w:tr>
        <w:tc>
          <w:tcPr>
            <w:tcW w:type="dxa" w:w="1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Rechnung</w:t>
            </w:r>
          </w:p>
        </w:tc>
        <w:tc>
          <w:tcPr>
            <w:tcW w:type="dxa" w:w="25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Beweislogik</w:t>
            </w:r>
          </w:p>
        </w:tc>
        <w:tc>
          <w:tcPr>
            <w:tcW w:type="dxa" w:w="49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Keine Zeitquelle, kein Vorschlag</w:t>
            </w:r>
          </w:p>
        </w:tc>
      </w:tr>
      <w:tr>
        <w:tc>
          <w:tcPr>
            <w:tcW w:type="dxa" w:w="1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Jahrespotenzial</w:t>
            </w:r>
          </w:p>
        </w:tc>
        <w:tc>
          <w:tcPr>
            <w:tcW w:type="dxa" w:w="25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Wirtschaftlicher Kontext</w:t>
            </w:r>
          </w:p>
        </w:tc>
        <w:tc>
          <w:tcPr>
            <w:tcW w:type="dxa" w:w="49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Veränderbare Beispielrechnung</w:t>
            </w:r>
          </w:p>
        </w:tc>
      </w:tr>
      <w:tr>
        <w:tc>
          <w:tcPr>
            <w:tcW w:type="dxa" w:w="1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Lokale KI</w:t>
            </w:r>
          </w:p>
        </w:tc>
        <w:tc>
          <w:tcPr>
            <w:tcW w:type="dxa" w:w="25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Vertrauen</w:t>
            </w:r>
          </w:p>
        </w:tc>
        <w:tc>
          <w:tcPr>
            <w:tcW w:type="dxa" w:w="49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Daten bleiben vor Ort</w:t>
            </w:r>
          </w:p>
        </w:tc>
      </w:tr>
      <w:tr>
        <w:tc>
          <w:tcPr>
            <w:tcW w:type="dxa" w:w="1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Pionierpraxen</w:t>
            </w:r>
          </w:p>
        </w:tc>
        <w:tc>
          <w:tcPr>
            <w:tcW w:type="dxa" w:w="25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Konversion</w:t>
            </w:r>
          </w:p>
        </w:tc>
        <w:tc>
          <w:tcPr>
            <w:tcW w:type="dxa" w:w="49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Schattenbetrieb validieren</w:t>
            </w:r>
          </w:p>
        </w:tc>
      </w:tr>
    </w:tbl>
    <w:p>
      <w:pPr>
        <w:keepNext w:val="0"/>
        <w:widowControl/>
        <w:spacing w:before="0" w:after="40" w:line="240" w:lineRule="auto"/>
      </w:pPr>
    </w:p>
    <w:p>
      <w:pPr>
        <w:pStyle w:val="Heading2"/>
      </w:pPr>
      <w:r>
        <w:t>Formularstatus</w:t>
      </w:r>
    </w:p>
    <w:p>
      <w:pPr>
        <w:keepNext w:val="0"/>
        <w:widowControl/>
        <w:spacing w:before="0" w:after="120" w:line="300" w:lineRule="auto"/>
      </w:pPr>
      <w:r>
        <w:rPr>
          <w:rFonts w:ascii="Calibri" w:hAnsi="Calibri"/>
          <w:color w:val="35383B"/>
        </w:rPr>
        <w:t>Das Formular ist Formspree-kompatibel und sendet per POST. Der Endpoint enthält noch den Platzhalter YOUR_FORM_ID. Ohne echte Formspree-ID werden keine Anfragen zugestellt.</w:t>
      </w:r>
    </w:p>
    <w:p>
      <w:pPr>
        <w:keepNext/>
        <w:widowControl/>
        <w:spacing w:before="0" w:after="60" w:line="240" w:lineRule="auto"/>
      </w:pPr>
      <w:r>
        <w:rPr>
          <w:rFonts w:ascii="Arial" w:hAnsi="Arial"/>
          <w:b/>
          <w:color w:val="3198D0"/>
          <w:sz w:val="18"/>
        </w:rPr>
        <w:t>TECHNISCHE ÜBERGABE</w:t>
      </w:r>
    </w:p>
    <w:p>
      <w:pPr>
        <w:pStyle w:val="Heading1"/>
      </w:pPr>
      <w:r>
        <w:t>8. System und Dateien</w:t>
      </w:r>
    </w:p>
    <w:tbl>
      <w:tblPr>
        <w:tblW w:type="dxa" w:w="9360"/>
        <w:tblLayout w:type="fixed"/>
        <w:tblLook w:firstColumn="1" w:firstRow="1" w:lastColumn="0" w:lastRow="0" w:noHBand="0" w:noVBand="1" w:val="04A0"/>
        <w:jc w:val="left"/>
        <w:tblInd w:w="120" w:type="dxa"/>
      </w:tblPr>
      <w:tblGrid>
        <w:gridCol w:w="3200"/>
        <w:gridCol w:w="6160"/>
      </w:tblGrid>
      <w:tr>
        <w:trPr>
          <w:tblHeader w:val="true"/>
        </w:trPr>
        <w:tc>
          <w:tcPr>
            <w:tcW w:type="dxa" w:w="320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Datei</w:t>
            </w:r>
          </w:p>
        </w:tc>
        <w:tc>
          <w:tcPr>
            <w:tcW w:type="dxa" w:w="616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Rolle</w:t>
            </w:r>
          </w:p>
        </w:tc>
      </w:tr>
      <w:tr>
        <w:tc>
          <w:tcPr>
            <w:tcW w:type="dxa" w:w="32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index.html</w:t>
            </w:r>
          </w:p>
        </w:tc>
        <w:tc>
          <w:tcPr>
            <w:tcW w:type="dxa" w:w="61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Seitenstruktur, Inhalte und Formspree-Formular</w:t>
            </w:r>
          </w:p>
        </w:tc>
      </w:tr>
      <w:tr>
        <w:tc>
          <w:tcPr>
            <w:tcW w:type="dxa" w:w="32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styles.css</w:t>
            </w:r>
          </w:p>
        </w:tc>
        <w:tc>
          <w:tcPr>
            <w:tcW w:type="dxa" w:w="61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Branding, Layout und responsive Darstellung</w:t>
            </w:r>
          </w:p>
        </w:tc>
      </w:tr>
      <w:tr>
        <w:tc>
          <w:tcPr>
            <w:tcW w:type="dxa" w:w="32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script.js</w:t>
            </w:r>
          </w:p>
        </w:tc>
        <w:tc>
          <w:tcPr>
            <w:tcW w:type="dxa" w:w="61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Rechnungszustände und Jahresrechner</w:t>
            </w:r>
          </w:p>
        </w:tc>
      </w:tr>
      <w:tr>
        <w:tc>
          <w:tcPr>
            <w:tcW w:type="dxa" w:w="32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assets/tardoc-rechnung-beispiel-v4.png</w:t>
            </w:r>
          </w:p>
        </w:tc>
        <w:tc>
          <w:tcPr>
            <w:tcW w:type="dxa" w:w="61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final verwendete Beispielrechnung</w:t>
            </w:r>
          </w:p>
        </w:tc>
      </w:tr>
      <w:tr>
        <w:tc>
          <w:tcPr>
            <w:tcW w:type="dxa" w:w="32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README.md</w:t>
            </w:r>
          </w:p>
        </w:tc>
        <w:tc>
          <w:tcPr>
            <w:tcW w:type="dxa" w:w="61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Betrieb und Veröffentlichung</w:t>
            </w:r>
          </w:p>
        </w:tc>
      </w:tr>
      <w:tr>
        <w:tc>
          <w:tcPr>
            <w:tcW w:type="dxa" w:w="32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VALUE_PROPOSITION.md</w:t>
            </w:r>
          </w:p>
        </w:tc>
        <w:tc>
          <w:tcPr>
            <w:tcW w:type="dxa" w:w="61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Positionierung und Guardrails</w:t>
            </w:r>
          </w:p>
        </w:tc>
      </w:tr>
    </w:tbl>
    <w:p>
      <w:pPr>
        <w:keepNext w:val="0"/>
        <w:widowControl/>
        <w:spacing w:before="0" w:after="40" w:line="240" w:lineRule="auto"/>
      </w:pPr>
    </w:p>
    <w:p>
      <w:pPr>
        <w:pStyle w:val="Heading2"/>
      </w:pPr>
      <w:r>
        <w:t>Betrieb</w:t>
      </w:r>
    </w:p>
    <w:p>
      <w:pPr>
        <w:pStyle w:val="ListBullet"/>
        <w:keepNext w:val="0"/>
        <w:widowControl/>
        <w:spacing w:before="0" w:after="80" w:line="300" w:lineRule="auto"/>
        <w:ind w:left="540" w:hanging="271"/>
      </w:pPr>
      <w:r>
        <w:rPr>
          <w:rFonts w:ascii="Calibri" w:hAnsi="Calibri"/>
          <w:color w:val="35383B"/>
          <w:sz w:val="22"/>
        </w:rPr>
        <w:t>Kein Build-Prozess und keine externe JavaScript-Abhängigkeit.</w:t>
      </w:r>
    </w:p>
    <w:p>
      <w:pPr>
        <w:pStyle w:val="ListBullet"/>
        <w:keepNext w:val="0"/>
        <w:widowControl/>
        <w:spacing w:before="0" w:after="80" w:line="300" w:lineRule="auto"/>
        <w:ind w:left="540" w:hanging="271"/>
      </w:pPr>
      <w:r>
        <w:rPr>
          <w:rFonts w:ascii="Calibri" w:hAnsi="Calibri"/>
          <w:color w:val="35383B"/>
          <w:sz w:val="22"/>
        </w:rPr>
        <w:t>Kann auf jedem statischen Webhost bereitgestellt werden.</w:t>
      </w:r>
    </w:p>
    <w:p>
      <w:pPr>
        <w:pStyle w:val="ListBullet"/>
        <w:keepNext w:val="0"/>
        <w:widowControl/>
        <w:spacing w:before="0" w:after="80" w:line="300" w:lineRule="auto"/>
        <w:ind w:left="540" w:hanging="271"/>
      </w:pPr>
      <w:r>
        <w:rPr>
          <w:rFonts w:ascii="Calibri" w:hAnsi="Calibri"/>
          <w:color w:val="35383B"/>
          <w:sz w:val="22"/>
        </w:rPr>
        <w:t>Lokale Vorschau bisher unter http://127.0.0.1:4173/.</w:t>
      </w:r>
    </w:p>
    <w:p>
      <w:pPr>
        <w:pStyle w:val="ListBullet"/>
        <w:keepNext w:val="0"/>
        <w:widowControl/>
        <w:spacing w:before="0" w:after="80" w:line="300" w:lineRule="auto"/>
        <w:ind w:left="540" w:hanging="271"/>
      </w:pPr>
      <w:r>
        <w:rPr>
          <w:rFonts w:ascii="Calibri" w:hAnsi="Calibri"/>
          <w:color w:val="35383B"/>
          <w:sz w:val="22"/>
        </w:rPr>
        <w:t>Nur tardoc-rechnung-beispiel-v4.png ist für das finale Deployment vorgesehen.</w:t>
      </w:r>
    </w:p>
    <w:p>
      <w:pPr>
        <w:pStyle w:val="Heading2"/>
      </w:pPr>
      <w:r>
        <w:t>Formspree vor Livegang</w:t>
      </w:r>
    </w:p>
    <w:p>
      <w:pPr>
        <w:keepNext w:val="0"/>
        <w:widowControl/>
        <w:numPr>
          <w:ilvl w:val="0"/>
          <w:numId w:val="101"/>
        </w:numPr>
        <w:spacing w:before="0" w:after="80" w:line="300" w:lineRule="auto"/>
      </w:pPr>
      <w:r>
        <w:rPr>
          <w:rFonts w:ascii="Calibri" w:hAnsi="Calibri"/>
          <w:color w:val="35383B"/>
          <w:sz w:val="22"/>
        </w:rPr>
        <w:t>Formspree-Formular und Empfängeradresse anlegen.</w:t>
      </w:r>
    </w:p>
    <w:p>
      <w:pPr>
        <w:keepNext w:val="0"/>
        <w:widowControl/>
        <w:numPr>
          <w:ilvl w:val="0"/>
          <w:numId w:val="101"/>
        </w:numPr>
        <w:spacing w:before="0" w:after="80" w:line="300" w:lineRule="auto"/>
      </w:pPr>
      <w:r>
        <w:rPr>
          <w:rFonts w:ascii="Calibri" w:hAnsi="Calibri"/>
          <w:color w:val="35383B"/>
          <w:sz w:val="22"/>
        </w:rPr>
        <w:t>YOUR_FORM_ID in index.html ersetzen.</w:t>
      </w:r>
    </w:p>
    <w:p>
      <w:pPr>
        <w:keepNext w:val="0"/>
        <w:widowControl/>
        <w:numPr>
          <w:ilvl w:val="0"/>
          <w:numId w:val="101"/>
        </w:numPr>
        <w:spacing w:before="0" w:after="80" w:line="300" w:lineRule="auto"/>
      </w:pPr>
      <w:r>
        <w:rPr>
          <w:rFonts w:ascii="Calibri" w:hAnsi="Calibri"/>
          <w:color w:val="35383B"/>
          <w:sz w:val="22"/>
        </w:rPr>
        <w:t>Spam-Schutz, Bestätigungsseite und Aufbewahrung konfigurieren.</w:t>
      </w:r>
    </w:p>
    <w:p>
      <w:pPr>
        <w:keepNext w:val="0"/>
        <w:widowControl/>
        <w:numPr>
          <w:ilvl w:val="0"/>
          <w:numId w:val="101"/>
        </w:numPr>
        <w:spacing w:before="0" w:after="80" w:line="300" w:lineRule="auto"/>
      </w:pPr>
      <w:r>
        <w:rPr>
          <w:rFonts w:ascii="Calibri" w:hAnsi="Calibri"/>
          <w:color w:val="35383B"/>
          <w:sz w:val="22"/>
        </w:rPr>
        <w:t>Datenschutzerklärung auf Formspree-Verarbeitung abstimmen.</w:t>
      </w:r>
    </w:p>
    <w:p>
      <w:pPr>
        <w:keepNext w:val="0"/>
        <w:widowControl/>
        <w:numPr>
          <w:ilvl w:val="0"/>
          <w:numId w:val="101"/>
        </w:numPr>
        <w:spacing w:before="0" w:after="80" w:line="300" w:lineRule="auto"/>
      </w:pPr>
      <w:r>
        <w:rPr>
          <w:rFonts w:ascii="Calibri" w:hAnsi="Calibri"/>
          <w:color w:val="35383B"/>
          <w:sz w:val="22"/>
        </w:rPr>
        <w:t>Testeintrag durchführen und Empfang Ende-zu-Ende bestätigen.</w:t>
      </w:r>
    </w:p>
    <w:p>
      <w:pPr>
        <w:pStyle w:val="Heading1"/>
      </w:pPr>
      <w:r>
        <w:t>9. Abnahmecheck</w:t>
      </w:r>
    </w:p>
    <w:p>
      <w:pPr>
        <w:pStyle w:val="ListBullet"/>
        <w:keepNext w:val="0"/>
        <w:widowControl/>
        <w:spacing w:before="0" w:after="80" w:line="300" w:lineRule="auto"/>
        <w:ind w:left="540" w:hanging="271"/>
      </w:pPr>
      <w:r>
        <w:rPr>
          <w:rFonts w:ascii="Calibri" w:hAnsi="Calibri"/>
          <w:color w:val="35383B"/>
          <w:sz w:val="22"/>
        </w:rPr>
        <w:t>Startseite lädt ohne sichtbaren Fehler.</w:t>
      </w:r>
    </w:p>
    <w:p>
      <w:pPr>
        <w:pStyle w:val="ListBullet"/>
        <w:keepNext w:val="0"/>
        <w:widowControl/>
        <w:spacing w:before="0" w:after="80" w:line="300" w:lineRule="auto"/>
        <w:ind w:left="540" w:hanging="271"/>
      </w:pPr>
      <w:r>
        <w:rPr>
          <w:rFonts w:ascii="Calibri" w:hAnsi="Calibri"/>
          <w:color w:val="35383B"/>
          <w:sz w:val="22"/>
        </w:rPr>
        <w:t>Navigation erreicht alle Abschnitte.</w:t>
      </w:r>
    </w:p>
    <w:p>
      <w:pPr>
        <w:pStyle w:val="ListBullet"/>
        <w:keepNext w:val="0"/>
        <w:widowControl/>
        <w:spacing w:before="0" w:after="80" w:line="300" w:lineRule="auto"/>
        <w:ind w:left="540" w:hanging="271"/>
      </w:pPr>
      <w:r>
        <w:rPr>
          <w:rFonts w:ascii="Calibri" w:hAnsi="Calibri"/>
          <w:color w:val="35383B"/>
          <w:sz w:val="22"/>
        </w:rPr>
        <w:t>Rechnungsentwurf und ClearDoc-Vorschlag schalten korrekt um.</w:t>
      </w:r>
    </w:p>
    <w:p>
      <w:pPr>
        <w:pStyle w:val="ListBullet"/>
        <w:keepNext w:val="0"/>
        <w:widowControl/>
        <w:spacing w:before="0" w:after="80" w:line="300" w:lineRule="auto"/>
        <w:ind w:left="540" w:hanging="271"/>
      </w:pPr>
      <w:r>
        <w:rPr>
          <w:rFonts w:ascii="Calibri" w:hAnsi="Calibri"/>
          <w:color w:val="35383B"/>
          <w:sz w:val="22"/>
        </w:rPr>
        <w:t>Blaue Markierung liegt auf AA.10.0020.</w:t>
      </w:r>
    </w:p>
    <w:p>
      <w:pPr>
        <w:pStyle w:val="ListBullet"/>
        <w:keepNext w:val="0"/>
        <w:widowControl/>
        <w:spacing w:before="0" w:after="80" w:line="300" w:lineRule="auto"/>
        <w:ind w:left="540" w:hanging="271"/>
      </w:pPr>
      <w:r>
        <w:rPr>
          <w:rFonts w:ascii="Calibri" w:hAnsi="Calibri"/>
          <w:color w:val="35383B"/>
          <w:sz w:val="22"/>
        </w:rPr>
        <w:t>Jahresregler aktualisiert Prozentwert und Frankenbetrag.</w:t>
      </w:r>
    </w:p>
    <w:p>
      <w:pPr>
        <w:pStyle w:val="ListBullet"/>
        <w:keepNext w:val="0"/>
        <w:widowControl/>
        <w:spacing w:before="0" w:after="80" w:line="300" w:lineRule="auto"/>
        <w:ind w:left="540" w:hanging="271"/>
      </w:pPr>
      <w:r>
        <w:rPr>
          <w:rFonts w:ascii="Calibri" w:hAnsi="Calibri"/>
          <w:color w:val="35383B"/>
          <w:sz w:val="22"/>
        </w:rPr>
        <w:t>Pflichtfelder werden validiert und Formspree empfängt den Test.</w:t>
      </w:r>
    </w:p>
    <w:p>
      <w:pPr>
        <w:pStyle w:val="ListBullet"/>
        <w:keepNext w:val="0"/>
        <w:widowControl/>
        <w:spacing w:before="0" w:after="80" w:line="300" w:lineRule="auto"/>
        <w:ind w:left="540" w:hanging="271"/>
      </w:pPr>
      <w:r>
        <w:rPr>
          <w:rFonts w:ascii="Calibri" w:hAnsi="Calibri"/>
          <w:color w:val="35383B"/>
          <w:sz w:val="22"/>
        </w:rPr>
        <w:t>Mobile Darstellung hat keinen horizontalen Überlauf.</w:t>
      </w:r>
    </w:p>
    <w:p>
      <w:pPr>
        <w:pStyle w:val="ListBullet"/>
        <w:keepNext w:val="0"/>
        <w:widowControl/>
        <w:spacing w:before="0" w:after="80" w:line="300" w:lineRule="auto"/>
        <w:ind w:left="540" w:hanging="271"/>
      </w:pPr>
      <w:r>
        <w:rPr>
          <w:rFonts w:ascii="Calibri" w:hAnsi="Calibri"/>
          <w:color w:val="35383B"/>
          <w:sz w:val="22"/>
        </w:rPr>
        <w:t>Impressum, Datenschutz und Rechtsträger sind ergänzt.</w:t>
      </w:r>
    </w:p>
    <w:p>
      <w:pPr>
        <w:keepNext/>
        <w:widowControl/>
        <w:spacing w:before="0" w:after="60" w:line="240" w:lineRule="auto"/>
      </w:pPr>
      <w:r>
        <w:rPr>
          <w:rFonts w:ascii="Arial" w:hAnsi="Arial"/>
          <w:b/>
          <w:color w:val="3198D0"/>
          <w:sz w:val="18"/>
        </w:rPr>
        <w:t>PILOT UND NÄCHSTE SCHRITTE</w:t>
      </w:r>
    </w:p>
    <w:p>
      <w:pPr>
        <w:pStyle w:val="Heading1"/>
      </w:pPr>
      <w:r>
        <w:t>10. Pilotdesign</w:t>
      </w:r>
    </w:p>
    <w:p>
      <w:pPr>
        <w:keepNext w:val="0"/>
        <w:widowControl/>
        <w:spacing w:before="0" w:after="120" w:line="300" w:lineRule="auto"/>
      </w:pPr>
      <w:r>
        <w:rPr>
          <w:rFonts w:ascii="Calibri" w:hAnsi="Calibri"/>
          <w:color w:val="35383B"/>
        </w:rPr>
        <w:t>Empfohlen wird ein Schattenbetrieb: ClearDoc analysiert reale Arbeitsabläufe, verändert aber keine produktiven Rechnungen. Hinweise werden getrennt protokolliert und von autorisierten Fachpersonen bewertet.</w:t>
      </w:r>
    </w:p>
    <w:p>
      <w:pPr>
        <w:pStyle w:val="Heading2"/>
      </w:pPr>
      <w:r>
        <w:t>Messgrössen</w:t>
      </w:r>
    </w:p>
    <w:p>
      <w:pPr>
        <w:pStyle w:val="ListBullet"/>
        <w:keepNext w:val="0"/>
        <w:widowControl/>
        <w:spacing w:before="0" w:after="80" w:line="300" w:lineRule="auto"/>
        <w:ind w:left="540" w:hanging="271"/>
      </w:pPr>
      <w:r>
        <w:rPr>
          <w:rFonts w:ascii="Calibri" w:hAnsi="Calibri"/>
          <w:color w:val="35383B"/>
          <w:sz w:val="22"/>
        </w:rPr>
        <w:t>Trefferquote korrekt erkannter fehlender Positionen</w:t>
      </w:r>
    </w:p>
    <w:p>
      <w:pPr>
        <w:pStyle w:val="ListBullet"/>
        <w:keepNext w:val="0"/>
        <w:widowControl/>
        <w:spacing w:before="0" w:after="80" w:line="300" w:lineRule="auto"/>
        <w:ind w:left="540" w:hanging="271"/>
      </w:pPr>
      <w:r>
        <w:rPr>
          <w:rFonts w:ascii="Calibri" w:hAnsi="Calibri"/>
          <w:color w:val="35383B"/>
          <w:sz w:val="22"/>
        </w:rPr>
        <w:t>Anteil verworfener oder falscher Hinweise</w:t>
      </w:r>
    </w:p>
    <w:p>
      <w:pPr>
        <w:pStyle w:val="ListBullet"/>
        <w:keepNext w:val="0"/>
        <w:widowControl/>
        <w:spacing w:before="0" w:after="80" w:line="300" w:lineRule="auto"/>
        <w:ind w:left="540" w:hanging="271"/>
      </w:pPr>
      <w:r>
        <w:rPr>
          <w:rFonts w:ascii="Calibri" w:hAnsi="Calibri"/>
          <w:color w:val="35383B"/>
          <w:sz w:val="22"/>
        </w:rPr>
        <w:t>Zeitaufwand für Prüfung vor und nach ClearDoc</w:t>
      </w:r>
    </w:p>
    <w:p>
      <w:pPr>
        <w:pStyle w:val="ListBullet"/>
        <w:keepNext w:val="0"/>
        <w:widowControl/>
        <w:spacing w:before="0" w:after="80" w:line="300" w:lineRule="auto"/>
        <w:ind w:left="540" w:hanging="271"/>
      </w:pPr>
      <w:r>
        <w:rPr>
          <w:rFonts w:ascii="Calibri" w:hAnsi="Calibri"/>
          <w:color w:val="35383B"/>
          <w:sz w:val="22"/>
        </w:rPr>
        <w:t>akzeptierter finanzieller Effekt</w:t>
      </w:r>
    </w:p>
    <w:p>
      <w:pPr>
        <w:pStyle w:val="ListBullet"/>
        <w:keepNext w:val="0"/>
        <w:widowControl/>
        <w:spacing w:before="0" w:after="80" w:line="300" w:lineRule="auto"/>
        <w:ind w:left="540" w:hanging="271"/>
      </w:pPr>
      <w:r>
        <w:rPr>
          <w:rFonts w:ascii="Calibri" w:hAnsi="Calibri"/>
          <w:color w:val="35383B"/>
          <w:sz w:val="22"/>
        </w:rPr>
        <w:t>Ablehnungen oder Rückfragen nach Rechnungsversand</w:t>
      </w:r>
    </w:p>
    <w:p>
      <w:pPr>
        <w:pStyle w:val="ListBullet"/>
        <w:keepNext w:val="0"/>
        <w:widowControl/>
        <w:spacing w:before="0" w:after="80" w:line="300" w:lineRule="auto"/>
        <w:ind w:left="540" w:hanging="271"/>
      </w:pPr>
      <w:r>
        <w:rPr>
          <w:rFonts w:ascii="Calibri" w:hAnsi="Calibri"/>
          <w:color w:val="35383B"/>
          <w:sz w:val="22"/>
        </w:rPr>
        <w:t>Vertrauen in lokale Verarbeitung und Erklärbarkeit</w:t>
      </w:r>
    </w:p>
    <w:p>
      <w:pPr>
        <w:pStyle w:val="Heading1"/>
      </w:pPr>
      <w:r>
        <w:t>11. Priorisierte offene Entscheidungen</w:t>
      </w:r>
    </w:p>
    <w:tbl>
      <w:tblPr>
        <w:tblW w:type="dxa" w:w="9360"/>
        <w:tblLayout w:type="fixed"/>
        <w:tblLook w:firstColumn="1" w:firstRow="1" w:lastColumn="0" w:lastRow="0" w:noHBand="0" w:noVBand="1" w:val="04A0"/>
        <w:jc w:val="left"/>
        <w:tblInd w:w="120" w:type="dxa"/>
      </w:tblPr>
      <w:tblGrid>
        <w:gridCol w:w="1000"/>
        <w:gridCol w:w="5900"/>
        <w:gridCol w:w="2460"/>
      </w:tblGrid>
      <w:tr>
        <w:trPr>
          <w:tblHeader w:val="true"/>
        </w:trPr>
        <w:tc>
          <w:tcPr>
            <w:tcW w:type="dxa" w:w="100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Priorität</w:t>
            </w:r>
          </w:p>
        </w:tc>
        <w:tc>
          <w:tcPr>
            <w:tcW w:type="dxa" w:w="590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Entscheidung</w:t>
            </w:r>
          </w:p>
        </w:tc>
        <w:tc>
          <w:tcPr>
            <w:tcW w:type="dxa" w:w="2460"/>
            <w:tcMar>
              <w:top w:w="80" w:type="dxa"/>
              <w:start w:w="120" w:type="dxa"/>
              <w:bottom w:w="80" w:type="dxa"/>
              <w:end w:w="120" w:type="dxa"/>
            </w:tcMar>
            <w:vAlign w:val="center"/>
            <w:shd w:fill="E8F4FA"/>
            <w:tcBorders>
              <w:top w:val="single" w:sz="6" w:color="D9DCDE"/>
              <w:bottom w:val="single" w:sz="6" w:color="D9DCDE"/>
              <w:start w:val="single" w:sz="6" w:color="D9DCDE"/>
              <w:end w:val="single" w:sz="6" w:color="D9DCDE"/>
            </w:tcBorders>
          </w:tcPr>
          <w:p>
            <w:pPr>
              <w:keepNext w:val="0"/>
              <w:widowControl/>
              <w:spacing w:before="0" w:after="0" w:line="264" w:lineRule="auto"/>
            </w:pPr>
            <w:r>
              <w:rPr>
                <w:rFonts w:ascii="Calibri" w:hAnsi="Calibri"/>
                <w:b/>
                <w:color w:val="075E8D"/>
                <w:sz w:val="19"/>
              </w:rPr>
              <w:t>Owner / Status</w:t>
            </w:r>
          </w:p>
        </w:tc>
      </w:tr>
      <w:tr>
        <w:tc>
          <w:tcPr>
            <w:tcW w:type="dxa" w:w="1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P0</w:t>
            </w:r>
          </w:p>
        </w:tc>
        <w:tc>
          <w:tcPr>
            <w:tcW w:type="dxa" w:w="5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Formspree-ID, Rechtsträger, Impressum und Datenschutz</w:t>
            </w:r>
          </w:p>
        </w:tc>
        <w:tc>
          <w:tcPr>
            <w:tcW w:type="dxa" w:w="24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zu bestimmen</w:t>
            </w:r>
          </w:p>
        </w:tc>
      </w:tr>
      <w:tr>
        <w:tc>
          <w:tcPr>
            <w:tcW w:type="dxa" w:w="1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P0</w:t>
            </w:r>
          </w:p>
        </w:tc>
        <w:tc>
          <w:tcPr>
            <w:tcW w:type="dxa" w:w="5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Tarifliche Validierung von Beispiel und Claims</w:t>
            </w:r>
          </w:p>
        </w:tc>
        <w:tc>
          <w:tcPr>
            <w:tcW w:type="dxa" w:w="24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zu bestimmen</w:t>
            </w:r>
          </w:p>
        </w:tc>
      </w:tr>
      <w:tr>
        <w:tc>
          <w:tcPr>
            <w:tcW w:type="dxa" w:w="1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P0</w:t>
            </w:r>
          </w:p>
        </w:tc>
        <w:tc>
          <w:tcPr>
            <w:tcW w:type="dxa" w:w="5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Lokale Betriebsarchitektur und Datenfluss</w:t>
            </w:r>
          </w:p>
        </w:tc>
        <w:tc>
          <w:tcPr>
            <w:tcW w:type="dxa" w:w="24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zu bestimmen</w:t>
            </w:r>
          </w:p>
        </w:tc>
      </w:tr>
      <w:tr>
        <w:tc>
          <w:tcPr>
            <w:tcW w:type="dxa" w:w="1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P1</w:t>
            </w:r>
          </w:p>
        </w:tc>
        <w:tc>
          <w:tcPr>
            <w:tcW w:type="dxa" w:w="5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Pilot-Fachgebiete, Auswahlkriterien und KPIs</w:t>
            </w:r>
          </w:p>
        </w:tc>
        <w:tc>
          <w:tcPr>
            <w:tcW w:type="dxa" w:w="24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zu bestimmen</w:t>
            </w:r>
          </w:p>
        </w:tc>
      </w:tr>
      <w:tr>
        <w:tc>
          <w:tcPr>
            <w:tcW w:type="dxa" w:w="1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P1</w:t>
            </w:r>
          </w:p>
        </w:tc>
        <w:tc>
          <w:tcPr>
            <w:tcW w:type="dxa" w:w="5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Integrationen für Praxissoftware, Telefonie und Zeitdaten</w:t>
            </w:r>
          </w:p>
        </w:tc>
        <w:tc>
          <w:tcPr>
            <w:tcW w:type="dxa" w:w="24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zu bestimmen</w:t>
            </w:r>
          </w:p>
        </w:tc>
      </w:tr>
      <w:tr>
        <w:tc>
          <w:tcPr>
            <w:tcW w:type="dxa" w:w="10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P2</w:t>
            </w:r>
          </w:p>
        </w:tc>
        <w:tc>
          <w:tcPr>
            <w:tcW w:type="dxa" w:w="590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Eigenständige Logik für Zusatzversicherungen</w:t>
            </w:r>
          </w:p>
        </w:tc>
        <w:tc>
          <w:tcPr>
            <w:tcW w:type="dxa" w:w="2460"/>
            <w:tcBorders>
              <w:bottom w:val="single" w:sz="4" w:color="D9DCDE"/>
              <w:start w:val="single" w:sz="4" w:color="D9DCDE"/>
              <w:end w:val="single" w:sz="4" w:color="D9DCDE"/>
            </w:tcBorders>
            <w:tcMar>
              <w:top w:w="80" w:type="dxa"/>
              <w:start w:w="120" w:type="dxa"/>
              <w:bottom w:w="80" w:type="dxa"/>
              <w:end w:w="120" w:type="dxa"/>
            </w:tcMar>
            <w:vAlign w:val="center"/>
          </w:tcPr>
          <w:p>
            <w:pPr>
              <w:keepNext w:val="0"/>
              <w:widowControl/>
              <w:spacing w:before="0" w:after="0" w:line="276" w:lineRule="auto"/>
            </w:pPr>
            <w:r>
              <w:rPr>
                <w:rFonts w:ascii="Calibri" w:hAnsi="Calibri"/>
                <w:color w:val="35383B"/>
                <w:sz w:val="19"/>
              </w:rPr>
              <w:t>Roadmap</w:t>
            </w:r>
          </w:p>
        </w:tc>
      </w:tr>
    </w:tbl>
    <w:p>
      <w:pPr>
        <w:keepNext w:val="0"/>
        <w:widowControl/>
        <w:spacing w:before="0" w:after="40" w:line="240" w:lineRule="auto"/>
      </w:pPr>
    </w:p>
    <w:p>
      <w:pPr>
        <w:pStyle w:val="Heading1"/>
      </w:pPr>
      <w:r>
        <w:t>12. Quellen</w:t>
      </w:r>
    </w:p>
    <w:p>
      <w:pPr>
        <w:pStyle w:val="ListBullet"/>
        <w:keepNext w:val="0"/>
        <w:widowControl/>
        <w:spacing w:before="0" w:after="80" w:line="300" w:lineRule="auto"/>
        <w:ind w:left="540" w:hanging="271"/>
      </w:pPr>
      <w:r>
        <w:rPr>
          <w:rFonts w:ascii="Calibri" w:hAnsi="Calibri"/>
          <w:color w:val="35383B"/>
          <w:sz w:val="22"/>
        </w:rPr>
        <w:t>BAG - TARDOC und ambulante Pauschalen: https://www.bag.admin.ch/de/tardoc-und-ambulante-pauschalen</w:t>
      </w:r>
    </w:p>
    <w:p>
      <w:pPr>
        <w:pStyle w:val="ListBullet"/>
        <w:keepNext w:val="0"/>
        <w:widowControl/>
        <w:spacing w:before="0" w:after="80" w:line="300" w:lineRule="auto"/>
        <w:ind w:left="540" w:hanging="271"/>
      </w:pPr>
      <w:r>
        <w:rPr>
          <w:rFonts w:ascii="Calibri" w:hAnsi="Calibri"/>
          <w:color w:val="35383B"/>
          <w:sz w:val="22"/>
        </w:rPr>
        <w:t>BAG - Kostenentwicklung ärztlich ambulant: https://www.bag.admin.ch/dam/de/sd-web/fSTnQwKB6RVF/faktenblatt-2025-kostenentwicklung-aertzlich-ambulant.pdf</w:t>
      </w:r>
    </w:p>
    <w:p>
      <w:pPr>
        <w:pStyle w:val="ListBullet"/>
        <w:keepNext w:val="0"/>
        <w:widowControl/>
        <w:spacing w:before="0" w:after="80" w:line="300" w:lineRule="auto"/>
        <w:ind w:left="540" w:hanging="271"/>
      </w:pPr>
      <w:r>
        <w:rPr>
          <w:rFonts w:ascii="Calibri" w:hAnsi="Calibri"/>
          <w:color w:val="35383B"/>
          <w:sz w:val="22"/>
        </w:rPr>
        <w:t>FMH - Rechnungsformular 5.0: https://tarifeambulant.fmh.ch/hilfe-services/neues-rechnungsformular-50.cfm</w:t>
      </w:r>
    </w:p>
    <w:p>
      <w:pPr>
        <w:pStyle w:val="ListBullet"/>
        <w:keepNext w:val="0"/>
        <w:widowControl/>
        <w:spacing w:before="0" w:after="80" w:line="300" w:lineRule="auto"/>
        <w:ind w:left="540" w:hanging="271"/>
      </w:pPr>
      <w:r>
        <w:rPr>
          <w:rFonts w:ascii="Calibri" w:hAnsi="Calibri"/>
          <w:color w:val="35383B"/>
          <w:sz w:val="22"/>
        </w:rPr>
        <w:t>Ärztekasse - Lesehilfe TARDOC-Rechnung: https://www.aerztekasse.ch/patienteninfo/tardoc-rechnung/</w:t>
      </w:r>
    </w:p>
    <w:p>
      <w:pPr>
        <w:pStyle w:val="Heading1"/>
      </w:pPr>
      <w:r>
        <w:t>13. Artefakte</w:t>
      </w:r>
    </w:p>
    <w:p>
      <w:pPr>
        <w:keepNext w:val="0"/>
        <w:widowControl/>
        <w:spacing w:before="0" w:after="120" w:line="300" w:lineRule="auto"/>
      </w:pPr>
      <w:r>
        <w:rPr>
          <w:rFonts w:ascii="Calibri" w:hAnsi="Calibri"/>
          <w:color w:val="35383B"/>
        </w:rPr>
        <w:t>Das gebündelte ZIP enthält diese DOCX-Datei, editierbare Markdown-Dokumentation, die finale Landingpage und ausschliesslich das aktuell verwendete Rechnungsasset. Ältere Zwischenstände und temporäre QA-Dateien sind ausgeschlossen.</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C7378"/>
        <w:sz w:val="18"/>
      </w:rPr>
      <w:t xml:space="preserve">Seite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C7378"/>
        <w:sz w:val="18"/>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40" w:line="240" w:lineRule="auto"/>
      <w:jc w:val="left"/>
      <w:pBdr>
        <w:bottom w:val="single" w:sz="6" w:space="4" w:color="D9DCDE"/>
      </w:pBdr>
    </w:pPr>
    <w:r>
      <w:rPr>
        <w:rFonts w:ascii="Calibri" w:hAnsi="Calibri"/>
        <w:b/>
        <w:color w:val="075E8D"/>
        <w:sz w:val="18"/>
      </w:rPr>
      <w:t>ClearDoc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7"/>
    <w:lvlOverride w:ilvl="0">
      <w:startOverride w:val="1"/>
    </w:lvlOverride>
  </w:num>
  <w:num w:numId="1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53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075E8D"/>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075E8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F4C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75E8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400"/>
    </w:pPr>
    <w:rPr>
      <w:rFonts w:asciiTheme="majorHAnsi" w:eastAsiaTheme="majorEastAsia" w:hAnsiTheme="majorHAnsi" w:cstheme="majorBidi" w:ascii="Calibri" w:hAnsi="Calibri"/>
      <w:b w:val="0"/>
      <w:i/>
      <w:iCs/>
      <w:color w:val="6C73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ClearDoc Handover</dc:title>
  <dc:subject>Produkt-, Landingpage- und Pilotübergabe</dc:subject>
  <dc:creator>ClearDoc Project</dc:creator>
  <cp:keywords>ClearDoc, TARDOC, Arztpraxis, Handover</cp:keywords>
  <dc:description>Stand 26. August 2026</dc:description>
  <cp:lastModifiedBy/>
  <cp:revision>1</cp:revision>
  <dcterms:created xsi:type="dcterms:W3CDTF">2013-12-23T23:15:00Z</dcterms:created>
  <dcterms:modified xsi:type="dcterms:W3CDTF">2013-12-23T23:15:00Z</dcterms:modified>
  <cp:category/>
</cp:coreProperties>
</file>