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299B"/>
          <w:sz w:val="60"/>
        </w:rPr>
        <w:t>RIFQA</w:t>
      </w:r>
    </w:p>
    <w:p>
      <w:pPr>
        <w:jc w:val="center"/>
      </w:pPr>
      <w:r>
        <w:rPr>
          <w:b/>
          <w:color w:val="30978F"/>
          <w:sz w:val="44"/>
        </w:rPr>
        <w:t>رفقة</w:t>
      </w:r>
    </w:p>
    <w:p>
      <w:pPr>
        <w:jc w:val="center"/>
      </w:pPr>
      <w:r>
        <w:rPr>
          <w:b/>
          <w:sz w:val="30"/>
        </w:rPr>
        <w:t>Competitive Analysis, Product Differentiation &amp; Go-To-Market Strategy</w:t>
      </w:r>
    </w:p>
    <w:p>
      <w:pPr>
        <w:jc w:val="center"/>
      </w:pPr>
      <w:r>
        <w:t>Updated April 28, 2026 | Production: https://rifqa.vercel.app | Repository: https://github.com/aboutony/rifqa</w:t>
      </w:r>
    </w:p>
    <w:tbl>
      <w:tblPr>
        <w:tblStyle w:val="TableGrid"/>
        <w:tblW w:type="auto" w:w="0"/>
        <w:tblLook w:firstColumn="1" w:firstRow="1" w:lastColumn="0" w:lastRow="0" w:noHBand="0" w:noVBand="1" w:val="04A0"/>
      </w:tblPr>
      <w:tblGrid>
        <w:gridCol w:w="3408"/>
        <w:gridCol w:w="3408"/>
        <w:gridCol w:w="3408"/>
      </w:tblGrid>
      <w:tr>
        <w:tc>
          <w:tcPr>
            <w:tcW w:type="dxa" w:w="3408"/>
            <w:shd w:fill="EDE4F2"/>
          </w:tcPr>
          <w:p>
            <w:r/>
            <w:r>
              <w:rPr>
                <w:b/>
                <w:sz w:val="18"/>
              </w:rPr>
              <w:t>Market</w:t>
            </w:r>
          </w:p>
        </w:tc>
        <w:tc>
          <w:tcPr>
            <w:tcW w:type="dxa" w:w="3408"/>
            <w:shd w:fill="EDE4F2"/>
          </w:tcPr>
          <w:p>
            <w:r/>
            <w:r>
              <w:rPr>
                <w:b/>
                <w:sz w:val="18"/>
              </w:rPr>
              <w:t>Product Stage</w:t>
            </w:r>
          </w:p>
        </w:tc>
        <w:tc>
          <w:tcPr>
            <w:tcW w:type="dxa" w:w="3408"/>
            <w:shd w:fill="EDE4F2"/>
          </w:tcPr>
          <w:p>
            <w:r/>
            <w:r>
              <w:rPr>
                <w:b/>
                <w:sz w:val="18"/>
              </w:rPr>
              <w:t>Strategic Wedge</w:t>
            </w:r>
          </w:p>
        </w:tc>
      </w:tr>
      <w:tr>
        <w:tc>
          <w:tcPr>
            <w:tcW w:type="dxa" w:w="3408"/>
          </w:tcPr>
          <w:p>
            <w:r/>
            <w:r>
              <w:rPr>
                <w:b w:val="0"/>
                <w:sz w:val="18"/>
              </w:rPr>
              <w:t>Saudi-first maternal health, MENA expansion</w:t>
            </w:r>
          </w:p>
        </w:tc>
        <w:tc>
          <w:tcPr>
            <w:tcW w:type="dxa" w:w="3408"/>
          </w:tcPr>
          <w:p>
            <w:r/>
            <w:r>
              <w:rPr>
                <w:b w:val="0"/>
                <w:sz w:val="18"/>
              </w:rPr>
              <w:t>Production deployed, tested, audit-clean</w:t>
            </w:r>
          </w:p>
        </w:tc>
        <w:tc>
          <w:tcPr>
            <w:tcW w:type="dxa" w:w="3408"/>
          </w:tcPr>
          <w:p>
            <w:r/>
            <w:r>
              <w:rPr>
                <w:b w:val="0"/>
                <w:sz w:val="18"/>
              </w:rPr>
              <w:t>Arabic-native, postpartum-deep, privacy-first</w:t>
            </w:r>
          </w:p>
        </w:tc>
      </w:tr>
    </w:tbl>
    <w:p/>
    <w:p>
      <w:pPr>
        <w:pStyle w:val="Heading1"/>
      </w:pPr>
      <w:r>
        <w:t>Executive Summary</w:t>
      </w:r>
    </w:p>
    <w:p>
      <w:r>
        <w:t>Rifqa is now a deployed Arabic-native maternal health companion for the Saudi and broader MENA market. The product has moved beyond concept into a working web application with bilingual RTL/LTR experience, pregnancy tracking, postpartum and baby mode, partner permissions, privacy center, notification preferences, growth loops, B2B entitlement logic, admin content review, safety-aware AI companion flows, and production readiness documentation.</w:t>
      </w:r>
    </w:p>
    <w:p>
      <w:r>
        <w:t>The strategic position is stronger than the original plan because several previously recommended differentiators are now implemented: birth transition, 40-day recovery tracking, Saudi vaccination schedule, consent and AI data controls, partner access governance, referral and clinic QR attribution, aggregate-only B2B reporting, and Playwright RTL/LTR QA coverage.</w:t>
      </w:r>
    </w:p>
    <w:p>
      <w:r>
        <w:t>Rifqa should be positioned as the privacy-first maternal operating system for Arab mothers, not merely another pregnancy tracker. Its wedge is emotional companionship plus culturally specific maternal workflows. Its expansion path is B2C trust, clinic-led distribution, WhatsApp referral loops, and B2B sponsored access through insurers, employers, clinics, and hospitals.</w:t>
      </w:r>
    </w:p>
    <w:p>
      <w:r>
        <w:t>The market timing remains attractive. Public market research continues to show high growth in pregnancy tracking and postpartum care apps, including a 19.1% projected CAGR for Saudi Arabia from 2024 to 2030. Global leaders still dominate awareness, but their products remain Western-centric, privacy-challenged, and weak around culturally specific postpartum care.</w:t>
      </w:r>
    </w:p>
    <w:p>
      <w:pPr>
        <w:pStyle w:val="Heading1"/>
      </w:pPr>
      <w:r>
        <w:t>Current Product Status</w:t>
      </w:r>
    </w:p>
    <w:p>
      <w:r>
        <w:t>Production URL: https://rifqa.vercel.app</w:t>
      </w:r>
    </w:p>
    <w:p>
      <w:r>
        <w:t>GitHub repository: https://github.com/aboutony/rifqa</w:t>
      </w:r>
    </w:p>
    <w:p>
      <w:r>
        <w:t>Latest pushed commits: abdde44 roadmap implementation; 99e98b2 dependency audit cleanup; 407ca6e Vercel type fix</w:t>
      </w:r>
    </w:p>
    <w:p>
      <w:r>
        <w:t>Final health check completed: API/privacy/admin/review/log/safety tests passed; retrieval and AI safety tests passed; production build passed; Playwright mother and admin flows passed across mobile, desktop, Arabic, and English projects; npm audit reports zero vulnerabilities after removing the type-only Vercel package dependency.</w:t>
      </w:r>
    </w:p>
    <w:p>
      <w:r>
        <w:t>Remaining engineering caveat: Vite reports a non-blocking large JavaScript chunk warning. This should be addressed with route-level or feature-level code splitting before heavier media, analytics dashboards, or community modules are added.</w:t>
      </w:r>
    </w:p>
    <w:p>
      <w:pPr>
        <w:pStyle w:val="Heading1"/>
      </w:pPr>
      <w:r>
        <w:t>Competitive Landscape</w:t>
      </w:r>
    </w:p>
    <w:p>
      <w:r>
        <w:t>The competitive field remains led by global pregnancy and women's health apps: Flo, BabyCenter, What to Expect, Pregnancy+, and regional healthcare apps such as Altibbi Mama. These products validate demand but leave a distinct gap for a Saudi-first, Arabic-native maternal companion.</w:t>
      </w:r>
    </w:p>
    <w:p>
      <w:r>
        <w:t>Flo has global scale, AI-powered personalization, and habit-forming logs, but its historical privacy controversies make trust a permanent vulnerability. BabyCenter has enduring community strength through birth clubs, but its experience is ad-supported and not culturally localized for Gulf maternal workflows. What to Expect benefits from brand trust and medically reviewed content, but the user experience is Western in tone and assumptions. Pregnancy+ is visually strong, but less differentiated on community, privacy, and postpartum depth.</w:t>
      </w:r>
    </w:p>
    <w:p>
      <w:r>
        <w:t>Rifqa's closest regional reference is Altibbi Mama, but Altibbi's strength is medical Q&amp;A and healthcare access. Rifqa's opportunity is the companion layer: daily reassurance, culturally fluent tracking, post-birth continuity, baby care logs, partner support, privacy controls, and clinic or employer-sponsored access.</w:t>
      </w:r>
    </w:p>
    <w:p>
      <w:pPr>
        <w:pStyle w:val="Heading1"/>
      </w:pPr>
      <w:r>
        <w:t>Why Rifqa Wins</w:t>
      </w:r>
    </w:p>
    <w:p>
      <w:r>
        <w:t>1. Arabic-native experience: Rifqa supports English and Arabic, including RTL screen behavior, Arabic copy fixes, and language-specific notification copy. The product is not simply translated; the navigation, cards, and workflows have been repeatedly corrected against Arabic screenshots.</w:t>
      </w:r>
    </w:p>
    <w:p>
      <w:r>
        <w:t>2. Saudi-specific maternal care: Rifqa includes Saudi mode, Saudi vaccination scheduling, due-date cohort logic, clinic QR attribution, and culturally meaningful postpartum recovery workflows.</w:t>
      </w:r>
    </w:p>
    <w:p>
      <w:r>
        <w:t>3. Postpartum depth: Rifqa now supports birth transition from pregnancy to postpartum, 40-day recovery tracking, bleeding, pain, C-section, sleep, feeding stress, baby feeding, pumping, sleep, diaper, medication logs, milestones to 36 months, baby journal, and share cards.</w:t>
      </w:r>
    </w:p>
    <w:p>
      <w:r>
        <w:t>4. Privacy as product: The Privacy Center now includes persisted consent records, AI data controls, export and delete workflows, B2B firewall explanation, privacy-safe aggregate analytics, and strict individual-data firewall principles.</w:t>
      </w:r>
    </w:p>
    <w:p>
      <w:r>
        <w:t>5. Household and care-network support: Partner mode includes invite flow, permissions by data category, shared baby progress, appointment reminders, support prompts, default hiding of mental-health/private journal/sensitive symptoms, and revoke access.</w:t>
      </w:r>
    </w:p>
    <w:p>
      <w:r>
        <w:t>6. B2B defensibility: Entitlements now support sponsored access, insurer/corporate checks, aggregate-only reporting, admin privacy thresholds, and documentation for enterprise-grade privacy boundaries.</w:t>
      </w:r>
    </w:p>
    <w:p>
      <w:r>
        <w:t>7. Safety-aware AI posture: AI flows include safety scenario tests, retrieval tests, redaction policy, and companion behavior designed around escalation and non-diagnostic support.</w:t>
      </w:r>
    </w:p>
    <w:p>
      <w:pPr>
        <w:pStyle w:val="Heading1"/>
      </w:pPr>
      <w:r>
        <w:t>Product Strategy After Roadmap Completion</w:t>
      </w:r>
    </w:p>
    <w:p>
      <w:r>
        <w:t>The roadmap should now shift from feature creation to reliability, clinical trust, and distribution. Rifqa has enough functional breadth for a credible pilot; the next question is not "what else can we build?" but "what must be proven before scale?"</w:t>
      </w:r>
    </w:p>
    <w:p>
      <w:r>
        <w:t>Priority 1: Clinical credibility. Every medical article, notification, AI safety boundary, postpartum guidance card, and Saudi vaccination reference needs reviewer metadata, expiry, and a signed content governance process. The admin review module and expiry reminders are already in place; operationalizing reviewer workflows is the next lever.</w:t>
      </w:r>
    </w:p>
    <w:p>
      <w:r>
        <w:t>Priority 2: Retention loops. The highest-value loops are daily check-in, weekly pregnancy milestone, postpartum recovery day, baby feeding/diaper rhythm, appointment/vaccine reminders, and share cards. The product should measure activation by first check-in, first saved baby log, first notification preference, and first shared card.</w:t>
      </w:r>
    </w:p>
    <w:p>
      <w:r>
        <w:t>Priority 3: Trust loops. Privacy controls, export/delete requests, AI data toggles, partner permission explanations, and B2B firewall language should be visible during onboarding and repeated at moments of sensitive data capture.</w:t>
      </w:r>
    </w:p>
    <w:p>
      <w:r>
        <w:t>Priority 4: Distribution instrumentation. Referral codes, clinic QR attribution, campaign/source tracking, and due-date cohort modeling are now implemented. These should be connected to dashboards before any paid growth spend.</w:t>
      </w:r>
    </w:p>
    <w:p>
      <w:pPr>
        <w:pStyle w:val="Heading1"/>
      </w:pPr>
      <w:r>
        <w:t>Go-To-Market Strategy</w:t>
      </w:r>
    </w:p>
    <w:p>
      <w:r>
        <w:t>Phase 1, Pilot and trust proof, 0-90 days: Run closed pilots with 3-5 OB-GYN clinics in Riyadh and Jeddah, one employer benefits pilot, and one insurer or broker conversation. KPI targets: 1,000 qualified users, 45% first-week check-in activation, 25% D30 retention, at least 200 completed privacy/AI consent events, and 100 exported/shareable milestone cards.</w:t>
      </w:r>
    </w:p>
    <w:p>
      <w:r>
        <w:t>Phase 2, Community-adjacent growth, months 4-8: Use WhatsApp share loops and milestone cards without launching open in-app community until moderation is ready. Seed clinic QR codes, creator demos, due-date cohort waitlists, and postpartum/baby tracking content. KPI targets: 25,000 monthly active users, CAC below SAR 15 in paid tests, 4.5+ store rating, and 10 active clinic attribution codes.</w:t>
      </w:r>
    </w:p>
    <w:p>
      <w:r>
        <w:t>Phase 3, B2B monetization, months 9-18: Package sponsored access for insurers, employers, hospitals, and maternity clinics. Sell aggregate-only reporting with privacy thresholds, no individual dashboards, and clear employee/member data firewall. KPI targets: 3 paying sponsors, 100,000 MAU, 15% premium or sponsored conversion, and SAR 2M ARR run-rate.</w:t>
      </w:r>
    </w:p>
    <w:p>
      <w:r>
        <w:t>Phase 4, Regional scale, 18+ months: Expand from Saudi-first to UAE, Kuwait, Qatar, Bahrain, Jordan, and Egypt with localized medical review, vaccination schedules, and dialect-sensitive content. Preserve Rifqa's identity as Arabic-native and clinically governed; do not dilute into generic parenting content.</w:t>
      </w:r>
    </w:p>
    <w:p>
      <w:pPr>
        <w:pStyle w:val="Heading1"/>
      </w:pPr>
      <w:r>
        <w:t>Channel Plan</w:t>
      </w:r>
    </w:p>
    <w:p>
      <w:r>
        <w:t>Clinic QR attribution: Highest intent channel. Pregnant users sitting in waiting rooms can scan, install, and begin onboarding immediately. Each clinic receives a unique code so conversion and retention can be measured.</w:t>
      </w:r>
    </w:p>
    <w:p>
      <w:r>
        <w:t>WhatsApp share loops: Use milestone cards, referral codes, baby updates, and postpartum support prompts. WhatsApp is the natural maternal distribution layer in Saudi and MENA households.</w:t>
      </w:r>
    </w:p>
    <w:p>
      <w:r>
        <w:t>Creator-led education: Use Saudi and Gulf nano/micro creators with real pregnancy or postpartum stories. Scripts should emphasize reassurance, privacy, Arabic-first design, Saudi vaccination reminders, and partner support.</w:t>
      </w:r>
    </w:p>
    <w:p>
      <w:r>
        <w:t>Search and ASO: Build Arabic search pages and app metadata around terms such as تطبيق الحمل, متابعة الحمل, حساب الحمل, أعراض الحمل, تطعيمات الطفل, النفاس, and رضاعة الطفل.</w:t>
      </w:r>
    </w:p>
    <w:p>
      <w:r>
        <w:t>B2B partnerships: Start with clinics and employers before insurers. Clinics prove usage and credibility; employers prove sponsored access; insurers require stronger reporting and compliance evidence.</w:t>
      </w:r>
    </w:p>
    <w:p>
      <w:pPr>
        <w:pStyle w:val="Heading1"/>
      </w:pPr>
      <w:r>
        <w:t>Positioning And Messaging</w:t>
      </w:r>
    </w:p>
    <w:p>
      <w:r>
        <w:t>Core positioning: Rifqa is the companion every Arab mother deserves, from pregnancy through postpartum and baby's first years.</w:t>
      </w:r>
    </w:p>
    <w:p>
      <w:r>
        <w:t>Mother-facing message: "Track what matters, understand what is normal, and feel accompanied in Arabic and English."</w:t>
      </w:r>
    </w:p>
    <w:p>
      <w:r>
        <w:t>Clinic-facing message: "A privacy-safe maternal companion that supports patients between visits and routes concern signals responsibly."</w:t>
      </w:r>
    </w:p>
    <w:p>
      <w:r>
        <w:t>Employer/insurer-facing message: "Sponsored maternal support with aggregate-only reporting, strict individual-data firewall, and measurable engagement."</w:t>
      </w:r>
    </w:p>
    <w:p>
      <w:r>
        <w:t>Partner-facing message: "Support her journey without entering private spaces she has not chosen to share."</w:t>
      </w:r>
    </w:p>
    <w:p>
      <w:pPr>
        <w:pStyle w:val="Heading1"/>
      </w:pPr>
      <w:r>
        <w:t>Pricing And Packaging</w:t>
      </w:r>
    </w:p>
    <w:p>
      <w:r>
        <w:t>Consumer free tier: pregnancy timeline, daily check-ins, basic baby logs, Saudi mode, core reminders, and privacy controls.</w:t>
      </w:r>
    </w:p>
    <w:p>
      <w:r>
        <w:t>Consumer premium: advanced AI companion context, expanded postpartum recovery insights, baby milestone journal and share packs, deeper notification personalization, and exportable visit summaries.</w:t>
      </w:r>
    </w:p>
    <w:p>
      <w:r>
        <w:t>Clinic package: QR attribution, reviewed content modules, patient education handouts, aggregate activation metrics, and co-branded onboarding.</w:t>
      </w:r>
    </w:p>
    <w:p>
      <w:r>
        <w:t>Employer/insurer package: sponsored access, eligibility checks, aggregate-only reports, privacy threshold enforcement, and member engagement metrics without individual health disclosure.</w:t>
      </w:r>
    </w:p>
    <w:p>
      <w:pPr>
        <w:pStyle w:val="Heading1"/>
      </w:pPr>
      <w:r>
        <w:t>Privacy, Safety, And Compliance Narrative</w:t>
      </w:r>
    </w:p>
    <w:p>
      <w:r>
        <w:t>Rifqa should make privacy a brand promise and a sales asset. The product now supports user data export, account deletion workflows, persisted consent records, AI data controls, partner access revocation, and B2B aggregate-only reporting. These should be highlighted in onboarding, investor materials, clinic decks, and sponsor proposals.</w:t>
      </w:r>
    </w:p>
    <w:p>
      <w:r>
        <w:t>The strict firewall principle is simple: mothers can share selected categories with partners or sponsors, but sensitive individual data is hidden by default and never exposed in B2B reporting. Mental health, private journal, sensitive symptoms, and AI chat stay private unless the mother explicitly opts into sharing where such sharing exists.</w:t>
      </w:r>
    </w:p>
    <w:p>
      <w:r>
        <w:t>The medical safety line should remain clear: Rifqa supports education, tracking, preparation, and care navigation. It does not diagnose, replace clinicians, or provide emergency medical services. Escalation copy should remain prominent for urgent symptoms.</w:t>
      </w:r>
    </w:p>
    <w:p>
      <w:pPr>
        <w:pStyle w:val="Heading1"/>
      </w:pPr>
      <w:r>
        <w:t>Key Metrics</w:t>
      </w:r>
    </w:p>
    <w:p>
      <w:r>
        <w:t>Activation: onboarding completion, birth date or due date set, first check-in, first notification preference saved, first privacy consent saved, first baby/postpartum log.</w:t>
      </w:r>
    </w:p>
    <w:p>
      <w:r>
        <w:t>Retention: D1, D7, D30 retention; weekly check-in streak; postpartum 40-day tracker completion; baby log frequency; notification open rate.</w:t>
      </w:r>
    </w:p>
    <w:p>
      <w:r>
        <w:t>Trust: privacy center visits, export/delete request completion time, partner permission changes, AI data control toggles, content review expiry compliance.</w:t>
      </w:r>
    </w:p>
    <w:p>
      <w:r>
        <w:t>Growth: referral code creation, WhatsApp share clicks, clinic QR conversion, campaign/source cohorts, due-date cohort invitation conversion.</w:t>
      </w:r>
    </w:p>
    <w:p>
      <w:r>
        <w:t>B2B: sponsor activation rate, eligible-user conversion, aggregate report freshness, privacy threshold blocks, clinic-level retention.</w:t>
      </w:r>
    </w:p>
    <w:p>
      <w:pPr>
        <w:pStyle w:val="Heading1"/>
      </w:pPr>
      <w:r>
        <w:t>Risks And Mitigations</w:t>
      </w:r>
    </w:p>
    <w:p>
      <w:r>
        <w:t>Clinical risk: Maternal health content can create real-world harm if poorly reviewed. Mitigation: require medical reviewer metadata, expiry reminders, audit trail, and conservative AI escalation.</w:t>
      </w:r>
    </w:p>
    <w:p>
      <w:r>
        <w:t>Privacy risk: Pregnancy and postpartum data is highly sensitive. Mitigation: keep AI and B2B data controls explicit, maintain export/delete workflows, document firewall boundaries, and test deletion/export regularly.</w:t>
      </w:r>
    </w:p>
    <w:p>
      <w:r>
        <w:t>Moderation risk: Maternal communities can surface misinformation, emergencies, or distress. Mitigation: delay open in-app community until moderation, clinician escalation, and reporting tooling are ready. Use WhatsApp and creator loops externally until then.</w:t>
      </w:r>
    </w:p>
    <w:p>
      <w:r>
        <w:t>Localization risk: Arabic screens can regress into mixed language or direction issues. Mitigation: keep RTL/LTR Playwright visual checks and screenshot review in CI before release.</w:t>
      </w:r>
    </w:p>
    <w:p>
      <w:r>
        <w:t>Technical scale risk: The single main bundle is already above the ideal chunk size. Mitigation: add code splitting by feature area before scaling traffic or adding heavier admin analytics.</w:t>
      </w:r>
    </w:p>
    <w:p>
      <w:pPr>
        <w:pStyle w:val="Heading1"/>
      </w:pPr>
      <w:r>
        <w:t>90-Day Execution Plan</w:t>
      </w:r>
    </w:p>
    <w:p>
      <w:r>
        <w:t>Weeks 1-2: Freeze pilot build, confirm medical/legal disclaimers, complete production environment documentation, and prepare clinic QR collateral.</w:t>
      </w:r>
    </w:p>
    <w:p>
      <w:r>
        <w:t>Weeks 3-4: Recruit 3-5 OB-GYN clinics, configure unique clinic codes, onboard the first pilot users, and collect qualitative feedback from mothers and clinicians.</w:t>
      </w:r>
    </w:p>
    <w:p>
      <w:r>
        <w:t>Weeks 5-8: Launch referral and milestone-card loops, test creator content, validate notification copy, and monitor D7 retention and first-week activation.</w:t>
      </w:r>
    </w:p>
    <w:p>
      <w:r>
        <w:t>Weeks 9-12: Package pilot results into a sponsor deck, begin employer/insurer conversations, and prioritize code splitting, analytics dashboards, and medical review operations for the next release.</w:t>
      </w:r>
    </w:p>
    <w:p>
      <w:pPr>
        <w:pStyle w:val="Heading1"/>
      </w:pPr>
      <w:r>
        <w:t>Strategic Conclusion</w:t>
      </w:r>
    </w:p>
    <w:p>
      <w:r>
        <w:t>Rifqa's advantage is no longer hypothetical. The product now combines the emotional warmth of a companion app, the daily utility of a maternal tracker, the cultural specificity of a Saudi-first experience, and the privacy architecture needed for B2B distribution.</w:t>
      </w:r>
    </w:p>
    <w:p>
      <w:r>
        <w:t>The highest-leverage next move is a disciplined pilot, not more feature expansion. Use the deployed product to prove retention, trust, clinical credibility, and clinic-led acquisition. If those four signals are strong, Rifqa can credibly become the maternal health layer for Arab mothers and the privacy-safe engagement layer for clinics, employers, and insurers.</w:t>
      </w:r>
    </w:p>
    <w:p>
      <w:pPr>
        <w:pStyle w:val="Heading1"/>
      </w:pPr>
      <w:r>
        <w:t>Competitive Snapshot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EDE4F2"/>
          </w:tcPr>
          <w:p>
            <w:r/>
            <w:r>
              <w:rPr>
                <w:b/>
                <w:sz w:val="18"/>
              </w:rPr>
              <w:t>Player</w:t>
            </w:r>
          </w:p>
        </w:tc>
        <w:tc>
          <w:tcPr>
            <w:tcW w:type="dxa" w:w="2045"/>
            <w:shd w:fill="EDE4F2"/>
          </w:tcPr>
          <w:p>
            <w:r/>
            <w:r>
              <w:rPr>
                <w:b/>
                <w:sz w:val="18"/>
              </w:rPr>
              <w:t>Strength</w:t>
            </w:r>
          </w:p>
        </w:tc>
        <w:tc>
          <w:tcPr>
            <w:tcW w:type="dxa" w:w="2045"/>
            <w:shd w:fill="EDE4F2"/>
          </w:tcPr>
          <w:p>
            <w:r/>
            <w:r>
              <w:rPr>
                <w:b/>
                <w:sz w:val="18"/>
              </w:rPr>
              <w:t>Weakness</w:t>
            </w:r>
          </w:p>
        </w:tc>
        <w:tc>
          <w:tcPr>
            <w:tcW w:type="dxa" w:w="2045"/>
            <w:shd w:fill="EDE4F2"/>
          </w:tcPr>
          <w:p>
            <w:r/>
            <w:r>
              <w:rPr>
                <w:b/>
                <w:sz w:val="18"/>
              </w:rPr>
              <w:t>Rifqa Response</w:t>
            </w:r>
          </w:p>
        </w:tc>
        <w:tc>
          <w:tcPr>
            <w:tcW w:type="dxa" w:w="2045"/>
            <w:shd w:fill="EDE4F2"/>
          </w:tcPr>
          <w:p>
            <w:r/>
            <w:r>
              <w:rPr>
                <w:b/>
                <w:sz w:val="18"/>
              </w:rPr>
              <w:t>Threat Level</w:t>
            </w:r>
          </w:p>
        </w:tc>
      </w:tr>
      <w:tr>
        <w:tc>
          <w:tcPr>
            <w:tcW w:type="dxa" w:w="2045"/>
          </w:tcPr>
          <w:p>
            <w:r/>
            <w:r>
              <w:rPr>
                <w:b w:val="0"/>
                <w:sz w:val="18"/>
              </w:rPr>
              <w:t>Flo</w:t>
            </w:r>
          </w:p>
        </w:tc>
        <w:tc>
          <w:tcPr>
            <w:tcW w:type="dxa" w:w="2045"/>
          </w:tcPr>
          <w:p>
            <w:r/>
            <w:r>
              <w:rPr>
                <w:b w:val="0"/>
                <w:sz w:val="18"/>
              </w:rPr>
              <w:t>Scale, AI insights, habit loops</w:t>
            </w:r>
          </w:p>
        </w:tc>
        <w:tc>
          <w:tcPr>
            <w:tcW w:type="dxa" w:w="2045"/>
          </w:tcPr>
          <w:p>
            <w:r/>
            <w:r>
              <w:rPr>
                <w:b w:val="0"/>
                <w:sz w:val="18"/>
              </w:rPr>
              <w:t>Privacy trust gap; weak Saudi specificity</w:t>
            </w:r>
          </w:p>
        </w:tc>
        <w:tc>
          <w:tcPr>
            <w:tcW w:type="dxa" w:w="2045"/>
          </w:tcPr>
          <w:p>
            <w:r/>
            <w:r>
              <w:rPr>
                <w:b w:val="0"/>
                <w:sz w:val="18"/>
              </w:rPr>
              <w:t>Privacy-first AI controls and Arabic maternal context</w:t>
            </w:r>
          </w:p>
        </w:tc>
        <w:tc>
          <w:tcPr>
            <w:tcW w:type="dxa" w:w="2045"/>
          </w:tcPr>
          <w:p>
            <w:r/>
            <w:r>
              <w:rPr>
                <w:b w:val="0"/>
                <w:sz w:val="18"/>
              </w:rPr>
              <w:t>High</w:t>
            </w:r>
          </w:p>
        </w:tc>
      </w:tr>
      <w:tr>
        <w:tc>
          <w:tcPr>
            <w:tcW w:type="dxa" w:w="2045"/>
          </w:tcPr>
          <w:p>
            <w:r/>
            <w:r>
              <w:rPr>
                <w:b w:val="0"/>
                <w:sz w:val="18"/>
              </w:rPr>
              <w:t>BabyCenter</w:t>
            </w:r>
          </w:p>
        </w:tc>
        <w:tc>
          <w:tcPr>
            <w:tcW w:type="dxa" w:w="2045"/>
          </w:tcPr>
          <w:p>
            <w:r/>
            <w:r>
              <w:rPr>
                <w:b w:val="0"/>
                <w:sz w:val="18"/>
              </w:rPr>
              <w:t>Birth clubs and content depth</w:t>
            </w:r>
          </w:p>
        </w:tc>
        <w:tc>
          <w:tcPr>
            <w:tcW w:type="dxa" w:w="2045"/>
          </w:tcPr>
          <w:p>
            <w:r/>
            <w:r>
              <w:rPr>
                <w:b w:val="0"/>
                <w:sz w:val="18"/>
              </w:rPr>
              <w:t>Ad/data posture; generic localization</w:t>
            </w:r>
          </w:p>
        </w:tc>
        <w:tc>
          <w:tcPr>
            <w:tcW w:type="dxa" w:w="2045"/>
          </w:tcPr>
          <w:p>
            <w:r/>
            <w:r>
              <w:rPr>
                <w:b w:val="0"/>
                <w:sz w:val="18"/>
              </w:rPr>
              <w:t>Due-date cohorts, WhatsApp loops, Arabic trust</w:t>
            </w:r>
          </w:p>
        </w:tc>
        <w:tc>
          <w:tcPr>
            <w:tcW w:type="dxa" w:w="2045"/>
          </w:tcPr>
          <w:p>
            <w:r/>
            <w:r>
              <w:rPr>
                <w:b w:val="0"/>
                <w:sz w:val="18"/>
              </w:rPr>
              <w:t>High</w:t>
            </w:r>
          </w:p>
        </w:tc>
      </w:tr>
      <w:tr>
        <w:tc>
          <w:tcPr>
            <w:tcW w:type="dxa" w:w="2045"/>
          </w:tcPr>
          <w:p>
            <w:r/>
            <w:r>
              <w:rPr>
                <w:b w:val="0"/>
                <w:sz w:val="18"/>
              </w:rPr>
              <w:t>What to Expect</w:t>
            </w:r>
          </w:p>
        </w:tc>
        <w:tc>
          <w:tcPr>
            <w:tcW w:type="dxa" w:w="2045"/>
          </w:tcPr>
          <w:p>
            <w:r/>
            <w:r>
              <w:rPr>
                <w:b w:val="0"/>
                <w:sz w:val="18"/>
              </w:rPr>
              <w:t>Medical credibility and brand trust</w:t>
            </w:r>
          </w:p>
        </w:tc>
        <w:tc>
          <w:tcPr>
            <w:tcW w:type="dxa" w:w="2045"/>
          </w:tcPr>
          <w:p>
            <w:r/>
            <w:r>
              <w:rPr>
                <w:b w:val="0"/>
                <w:sz w:val="18"/>
              </w:rPr>
              <w:t>Western UX and limited cultural fit</w:t>
            </w:r>
          </w:p>
        </w:tc>
        <w:tc>
          <w:tcPr>
            <w:tcW w:type="dxa" w:w="2045"/>
          </w:tcPr>
          <w:p>
            <w:r/>
            <w:r>
              <w:rPr>
                <w:b w:val="0"/>
                <w:sz w:val="18"/>
              </w:rPr>
              <w:t>Saudi reviewed content and postpartum workflows</w:t>
            </w:r>
          </w:p>
        </w:tc>
        <w:tc>
          <w:tcPr>
            <w:tcW w:type="dxa" w:w="2045"/>
          </w:tcPr>
          <w:p>
            <w:r/>
            <w:r>
              <w:rPr>
                <w:b w:val="0"/>
                <w:sz w:val="18"/>
              </w:rPr>
              <w:t>Medium</w:t>
            </w:r>
          </w:p>
        </w:tc>
      </w:tr>
      <w:tr>
        <w:tc>
          <w:tcPr>
            <w:tcW w:type="dxa" w:w="2045"/>
          </w:tcPr>
          <w:p>
            <w:r/>
            <w:r>
              <w:rPr>
                <w:b w:val="0"/>
                <w:sz w:val="18"/>
              </w:rPr>
              <w:t>Pregnancy+</w:t>
            </w:r>
          </w:p>
        </w:tc>
        <w:tc>
          <w:tcPr>
            <w:tcW w:type="dxa" w:w="2045"/>
          </w:tcPr>
          <w:p>
            <w:r/>
            <w:r>
              <w:rPr>
                <w:b w:val="0"/>
                <w:sz w:val="18"/>
              </w:rPr>
              <w:t>Visual fetal development and trackers</w:t>
            </w:r>
          </w:p>
        </w:tc>
        <w:tc>
          <w:tcPr>
            <w:tcW w:type="dxa" w:w="2045"/>
          </w:tcPr>
          <w:p>
            <w:r/>
            <w:r>
              <w:rPr>
                <w:b w:val="0"/>
                <w:sz w:val="18"/>
              </w:rPr>
              <w:t>Less community and privacy differentiation</w:t>
            </w:r>
          </w:p>
        </w:tc>
        <w:tc>
          <w:tcPr>
            <w:tcW w:type="dxa" w:w="2045"/>
          </w:tcPr>
          <w:p>
            <w:r/>
            <w:r>
              <w:rPr>
                <w:b w:val="0"/>
                <w:sz w:val="18"/>
              </w:rPr>
              <w:t>Companion tone, partner mode, baby/postpartum depth</w:t>
            </w:r>
          </w:p>
        </w:tc>
        <w:tc>
          <w:tcPr>
            <w:tcW w:type="dxa" w:w="2045"/>
          </w:tcPr>
          <w:p>
            <w:r/>
            <w:r>
              <w:rPr>
                <w:b w:val="0"/>
                <w:sz w:val="18"/>
              </w:rPr>
              <w:t>Medium</w:t>
            </w:r>
          </w:p>
        </w:tc>
      </w:tr>
      <w:tr>
        <w:tc>
          <w:tcPr>
            <w:tcW w:type="dxa" w:w="2045"/>
          </w:tcPr>
          <w:p>
            <w:r/>
            <w:r>
              <w:rPr>
                <w:b w:val="0"/>
                <w:sz w:val="18"/>
              </w:rPr>
              <w:t>Altibbi Mama</w:t>
            </w:r>
          </w:p>
        </w:tc>
        <w:tc>
          <w:tcPr>
            <w:tcW w:type="dxa" w:w="2045"/>
          </w:tcPr>
          <w:p>
            <w:r/>
            <w:r>
              <w:rPr>
                <w:b w:val="0"/>
                <w:sz w:val="18"/>
              </w:rPr>
              <w:t>Regional healthcare brand and Q&amp;A</w:t>
            </w:r>
          </w:p>
        </w:tc>
        <w:tc>
          <w:tcPr>
            <w:tcW w:type="dxa" w:w="2045"/>
          </w:tcPr>
          <w:p>
            <w:r/>
            <w:r>
              <w:rPr>
                <w:b w:val="0"/>
                <w:sz w:val="18"/>
              </w:rPr>
              <w:t>Less companion/product depth</w:t>
            </w:r>
          </w:p>
        </w:tc>
        <w:tc>
          <w:tcPr>
            <w:tcW w:type="dxa" w:w="2045"/>
          </w:tcPr>
          <w:p>
            <w:r/>
            <w:r>
              <w:rPr>
                <w:b w:val="0"/>
                <w:sz w:val="18"/>
              </w:rPr>
              <w:t>Emotional companion plus B2B-ready privacy model</w:t>
            </w:r>
          </w:p>
        </w:tc>
        <w:tc>
          <w:tcPr>
            <w:tcW w:type="dxa" w:w="2045"/>
          </w:tcPr>
          <w:p>
            <w:r/>
            <w:r>
              <w:rPr>
                <w:b w:val="0"/>
                <w:sz w:val="18"/>
              </w:rPr>
              <w:t>Medium</w:t>
            </w:r>
          </w:p>
        </w:tc>
      </w:tr>
    </w:tbl>
    <w:p>
      <w:pPr>
        <w:pStyle w:val="Heading1"/>
      </w:pPr>
      <w:r>
        <w:t>Pilot KPI Dashboard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EDE4F2"/>
          </w:tcPr>
          <w:p>
            <w:r/>
            <w:r>
              <w:rPr>
                <w:b/>
                <w:sz w:val="18"/>
              </w:rPr>
              <w:t>Metric Area</w:t>
            </w:r>
          </w:p>
        </w:tc>
        <w:tc>
          <w:tcPr>
            <w:tcW w:type="dxa" w:w="2556"/>
            <w:shd w:fill="EDE4F2"/>
          </w:tcPr>
          <w:p>
            <w:r/>
            <w:r>
              <w:rPr>
                <w:b/>
                <w:sz w:val="18"/>
              </w:rPr>
              <w:t>90-Day Target</w:t>
            </w:r>
          </w:p>
        </w:tc>
        <w:tc>
          <w:tcPr>
            <w:tcW w:type="dxa" w:w="2556"/>
            <w:shd w:fill="EDE4F2"/>
          </w:tcPr>
          <w:p>
            <w:r/>
            <w:r>
              <w:rPr>
                <w:b/>
                <w:sz w:val="18"/>
              </w:rPr>
              <w:t>Why It Matters</w:t>
            </w:r>
          </w:p>
        </w:tc>
        <w:tc>
          <w:tcPr>
            <w:tcW w:type="dxa" w:w="2556"/>
            <w:shd w:fill="EDE4F2"/>
          </w:tcPr>
          <w:p>
            <w:r/>
            <w:r>
              <w:rPr>
                <w:b/>
                <w:sz w:val="18"/>
              </w:rPr>
              <w:t>Current Product Support</w:t>
            </w:r>
          </w:p>
        </w:tc>
      </w:tr>
      <w:tr>
        <w:tc>
          <w:tcPr>
            <w:tcW w:type="dxa" w:w="2556"/>
          </w:tcPr>
          <w:p>
            <w:r/>
            <w:r>
              <w:rPr>
                <w:b w:val="0"/>
                <w:sz w:val="18"/>
              </w:rPr>
              <w:t>Activation</w:t>
            </w:r>
          </w:p>
        </w:tc>
        <w:tc>
          <w:tcPr>
            <w:tcW w:type="dxa" w:w="2556"/>
          </w:tcPr>
          <w:p>
            <w:r/>
            <w:r>
              <w:rPr>
                <w:b w:val="0"/>
                <w:sz w:val="18"/>
              </w:rPr>
              <w:t>45% first-week check-in activation</w:t>
            </w:r>
          </w:p>
        </w:tc>
        <w:tc>
          <w:tcPr>
            <w:tcW w:type="dxa" w:w="2556"/>
          </w:tcPr>
          <w:p>
            <w:r/>
            <w:r>
              <w:rPr>
                <w:b w:val="0"/>
                <w:sz w:val="18"/>
              </w:rPr>
              <w:t>Proves daily utility</w:t>
            </w:r>
          </w:p>
        </w:tc>
        <w:tc>
          <w:tcPr>
            <w:tcW w:type="dxa" w:w="2556"/>
          </w:tcPr>
          <w:p>
            <w:r/>
            <w:r>
              <w:rPr>
                <w:b w:val="0"/>
                <w:sz w:val="18"/>
              </w:rPr>
              <w:t>Check-in flow and reminders</w:t>
            </w:r>
          </w:p>
        </w:tc>
      </w:tr>
      <w:tr>
        <w:tc>
          <w:tcPr>
            <w:tcW w:type="dxa" w:w="2556"/>
          </w:tcPr>
          <w:p>
            <w:r/>
            <w:r>
              <w:rPr>
                <w:b w:val="0"/>
                <w:sz w:val="18"/>
              </w:rPr>
              <w:t>Retention</w:t>
            </w:r>
          </w:p>
        </w:tc>
        <w:tc>
          <w:tcPr>
            <w:tcW w:type="dxa" w:w="2556"/>
          </w:tcPr>
          <w:p>
            <w:r/>
            <w:r>
              <w:rPr>
                <w:b w:val="0"/>
                <w:sz w:val="18"/>
              </w:rPr>
              <w:t>25% D30 pilot retention</w:t>
            </w:r>
          </w:p>
        </w:tc>
        <w:tc>
          <w:tcPr>
            <w:tcW w:type="dxa" w:w="2556"/>
          </w:tcPr>
          <w:p>
            <w:r/>
            <w:r>
              <w:rPr>
                <w:b w:val="0"/>
                <w:sz w:val="18"/>
              </w:rPr>
              <w:t>Proves repeat use</w:t>
            </w:r>
          </w:p>
        </w:tc>
        <w:tc>
          <w:tcPr>
            <w:tcW w:type="dxa" w:w="2556"/>
          </w:tcPr>
          <w:p>
            <w:r/>
            <w:r>
              <w:rPr>
                <w:b w:val="0"/>
                <w:sz w:val="18"/>
              </w:rPr>
              <w:t>Week, postpartum, baby logs</w:t>
            </w:r>
          </w:p>
        </w:tc>
      </w:tr>
      <w:tr>
        <w:tc>
          <w:tcPr>
            <w:tcW w:type="dxa" w:w="2556"/>
          </w:tcPr>
          <w:p>
            <w:r/>
            <w:r>
              <w:rPr>
                <w:b w:val="0"/>
                <w:sz w:val="18"/>
              </w:rPr>
              <w:t>Trust</w:t>
            </w:r>
          </w:p>
        </w:tc>
        <w:tc>
          <w:tcPr>
            <w:tcW w:type="dxa" w:w="2556"/>
          </w:tcPr>
          <w:p>
            <w:r/>
            <w:r>
              <w:rPr>
                <w:b w:val="0"/>
                <w:sz w:val="18"/>
              </w:rPr>
              <w:t>200 consent/privacy events</w:t>
            </w:r>
          </w:p>
        </w:tc>
        <w:tc>
          <w:tcPr>
            <w:tcW w:type="dxa" w:w="2556"/>
          </w:tcPr>
          <w:p>
            <w:r/>
            <w:r>
              <w:rPr>
                <w:b w:val="0"/>
                <w:sz w:val="18"/>
              </w:rPr>
              <w:t>Proves privacy resonance</w:t>
            </w:r>
          </w:p>
        </w:tc>
        <w:tc>
          <w:tcPr>
            <w:tcW w:type="dxa" w:w="2556"/>
          </w:tcPr>
          <w:p>
            <w:r/>
            <w:r>
              <w:rPr>
                <w:b w:val="0"/>
                <w:sz w:val="18"/>
              </w:rPr>
              <w:t>Privacy Center and AI controls</w:t>
            </w:r>
          </w:p>
        </w:tc>
      </w:tr>
      <w:tr>
        <w:tc>
          <w:tcPr>
            <w:tcW w:type="dxa" w:w="2556"/>
          </w:tcPr>
          <w:p>
            <w:r/>
            <w:r>
              <w:rPr>
                <w:b w:val="0"/>
                <w:sz w:val="18"/>
              </w:rPr>
              <w:t>Growth</w:t>
            </w:r>
          </w:p>
        </w:tc>
        <w:tc>
          <w:tcPr>
            <w:tcW w:type="dxa" w:w="2556"/>
          </w:tcPr>
          <w:p>
            <w:r/>
            <w:r>
              <w:rPr>
                <w:b w:val="0"/>
                <w:sz w:val="18"/>
              </w:rPr>
              <w:t>100 share/referral events</w:t>
            </w:r>
          </w:p>
        </w:tc>
        <w:tc>
          <w:tcPr>
            <w:tcW w:type="dxa" w:w="2556"/>
          </w:tcPr>
          <w:p>
            <w:r/>
            <w:r>
              <w:rPr>
                <w:b w:val="0"/>
                <w:sz w:val="18"/>
              </w:rPr>
              <w:t>Proves organic loops</w:t>
            </w:r>
          </w:p>
        </w:tc>
        <w:tc>
          <w:tcPr>
            <w:tcW w:type="dxa" w:w="2556"/>
          </w:tcPr>
          <w:p>
            <w:r/>
            <w:r>
              <w:rPr>
                <w:b w:val="0"/>
                <w:sz w:val="18"/>
              </w:rPr>
              <w:t>Referral codes, milestone cards, WhatsApp copy</w:t>
            </w:r>
          </w:p>
        </w:tc>
      </w:tr>
      <w:tr>
        <w:tc>
          <w:tcPr>
            <w:tcW w:type="dxa" w:w="2556"/>
          </w:tcPr>
          <w:p>
            <w:r/>
            <w:r>
              <w:rPr>
                <w:b w:val="0"/>
                <w:sz w:val="18"/>
              </w:rPr>
              <w:t>B2B</w:t>
            </w:r>
          </w:p>
        </w:tc>
        <w:tc>
          <w:tcPr>
            <w:tcW w:type="dxa" w:w="2556"/>
          </w:tcPr>
          <w:p>
            <w:r/>
            <w:r>
              <w:rPr>
                <w:b w:val="0"/>
                <w:sz w:val="18"/>
              </w:rPr>
              <w:t>3 clinic pilots</w:t>
            </w:r>
          </w:p>
        </w:tc>
        <w:tc>
          <w:tcPr>
            <w:tcW w:type="dxa" w:w="2556"/>
          </w:tcPr>
          <w:p>
            <w:r/>
            <w:r>
              <w:rPr>
                <w:b w:val="0"/>
                <w:sz w:val="18"/>
              </w:rPr>
              <w:t>Proves channel fit</w:t>
            </w:r>
          </w:p>
        </w:tc>
        <w:tc>
          <w:tcPr>
            <w:tcW w:type="dxa" w:w="2556"/>
          </w:tcPr>
          <w:p>
            <w:r/>
            <w:r>
              <w:rPr>
                <w:b w:val="0"/>
                <w:sz w:val="18"/>
              </w:rPr>
              <w:t>Clinic QR and aggregate reporting</w:t>
            </w:r>
          </w:p>
        </w:tc>
      </w:tr>
    </w:tbl>
    <w:p>
      <w:pPr>
        <w:pStyle w:val="Heading1"/>
      </w:pPr>
      <w:r>
        <w:t>Source Notes</w:t>
      </w:r>
    </w:p>
    <w:p>
      <w:r>
        <w:t>Grand View Research, Saudi Arabia pregnancy tracking and postpartum care apps outlook: https://www.grandviewresearch.com/horizon/outlook/pregnancy-tracking-and-postpartum-care-apps/saudi-arabia</w:t>
      </w:r>
    </w:p>
    <w:p>
      <w:r>
        <w:t>Market.us, global pregnancy tracking and postpartum care apps market outlook: https://market.us/report/pregnancy-tracking-and-postpartum-care-apps-market/</w:t>
      </w:r>
    </w:p>
    <w:p>
      <w:r>
        <w:t>Flo public newsroom and public growth references: https://flo.health/newsroom</w:t>
      </w:r>
    </w:p>
    <w:p>
      <w:r>
        <w:t>Mozilla Privacy Not Included review of BabyCenter privacy posture: https://www.mozillafoundation.org/en/privacynotincluded/babycenter/</w:t>
      </w:r>
    </w:p>
    <w:p>
      <w:r>
        <w:t>BabyCenter Birth Clubs reference: https://www.babycenter.ca/birthclubs</w:t>
      </w:r>
    </w:p>
    <w:p>
      <w:r>
        <w:br w:type="page"/>
      </w:r>
    </w:p>
    <w:p>
      <w:pPr>
        <w:sectPr/>
      </w:pPr>
    </w:p>
    <w:p>
      <w:pPr>
        <w:jc w:val="center"/>
      </w:pPr>
      <w:r>
        <w:rPr>
          <w:rFonts w:ascii="Aptos Display" w:hAnsi="Aptos Display"/>
          <w:b/>
          <w:color w:val="5B299B"/>
          <w:sz w:val="44"/>
        </w:rPr>
        <w:t>Feature-by-Feature Competitive Matrix</w:t>
      </w:r>
    </w:p>
    <w:p>
      <w:pPr>
        <w:jc w:val="center"/>
      </w:pPr>
      <w:r>
        <w:rPr>
          <w:color w:val="5E5666"/>
          <w:sz w:val="19"/>
        </w:rPr>
        <w:t>Rifqa is strongest where global pregnancy apps are weakest: Arabic-native care, Saudi specificity, postpartum depth, privacy governance, partner permissions, and B2B readiness.</w:t>
      </w:r>
    </w:p>
    <w:p>
      <w:r>
        <w:t>Legend: YES = strong/current support; PARTIAL = partial, generic, or not culturally specific; NO = not publicly visible or not a core focus; DELAYED = intentionally held until moderation is ready.</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shd w:fill="EDE4F2"/>
            <w:tcMar>
              <w:top w:w="70" w:type="dxa"/>
              <w:left w:w="70" w:type="dxa"/>
              <w:bottom w:w="70" w:type="dxa"/>
              <w:right w:w="70" w:type="dxa"/>
            </w:tcMar>
          </w:tcPr>
          <w:p>
            <w:r/>
            <w:r>
              <w:rPr>
                <w:rFonts w:ascii="Aptos" w:hAnsi="Aptos"/>
                <w:b/>
                <w:color w:val="241A2E"/>
                <w:sz w:val="16"/>
              </w:rPr>
              <w:t>Feature / Capability</w:t>
            </w:r>
          </w:p>
        </w:tc>
        <w:tc>
          <w:tcPr>
            <w:tcW w:type="dxa" w:w="1563"/>
            <w:shd w:fill="EDE4F2"/>
            <w:tcMar>
              <w:top w:w="70" w:type="dxa"/>
              <w:left w:w="70" w:type="dxa"/>
              <w:bottom w:w="70" w:type="dxa"/>
              <w:right w:w="70" w:type="dxa"/>
            </w:tcMar>
          </w:tcPr>
          <w:p>
            <w:pPr>
              <w:jc w:val="center"/>
            </w:pPr>
            <w:r/>
            <w:r>
              <w:rPr>
                <w:rFonts w:ascii="Aptos" w:hAnsi="Aptos"/>
                <w:b/>
                <w:color w:val="241A2E"/>
                <w:sz w:val="16"/>
              </w:rPr>
              <w:t>RIFQA</w:t>
            </w:r>
          </w:p>
        </w:tc>
        <w:tc>
          <w:tcPr>
            <w:tcW w:type="dxa" w:w="1563"/>
            <w:shd w:fill="EDE4F2"/>
            <w:tcMar>
              <w:top w:w="70" w:type="dxa"/>
              <w:left w:w="70" w:type="dxa"/>
              <w:bottom w:w="70" w:type="dxa"/>
              <w:right w:w="70" w:type="dxa"/>
            </w:tcMar>
          </w:tcPr>
          <w:p>
            <w:pPr>
              <w:jc w:val="center"/>
            </w:pPr>
            <w:r/>
            <w:r>
              <w:rPr>
                <w:rFonts w:ascii="Aptos" w:hAnsi="Aptos"/>
                <w:b/>
                <w:color w:val="241A2E"/>
                <w:sz w:val="16"/>
              </w:rPr>
              <w:t>Flo</w:t>
            </w:r>
          </w:p>
        </w:tc>
        <w:tc>
          <w:tcPr>
            <w:tcW w:type="dxa" w:w="1563"/>
            <w:shd w:fill="EDE4F2"/>
            <w:tcMar>
              <w:top w:w="70" w:type="dxa"/>
              <w:left w:w="70" w:type="dxa"/>
              <w:bottom w:w="70" w:type="dxa"/>
              <w:right w:w="70" w:type="dxa"/>
            </w:tcMar>
          </w:tcPr>
          <w:p>
            <w:pPr>
              <w:jc w:val="center"/>
            </w:pPr>
            <w:r/>
            <w:r>
              <w:rPr>
                <w:rFonts w:ascii="Aptos" w:hAnsi="Aptos"/>
                <w:b/>
                <w:color w:val="241A2E"/>
                <w:sz w:val="16"/>
              </w:rPr>
              <w:t>BabyCenter</w:t>
            </w:r>
          </w:p>
        </w:tc>
        <w:tc>
          <w:tcPr>
            <w:tcW w:type="dxa" w:w="1563"/>
            <w:shd w:fill="EDE4F2"/>
            <w:tcMar>
              <w:top w:w="70" w:type="dxa"/>
              <w:left w:w="70" w:type="dxa"/>
              <w:bottom w:w="70" w:type="dxa"/>
              <w:right w:w="70" w:type="dxa"/>
            </w:tcMar>
          </w:tcPr>
          <w:p>
            <w:pPr>
              <w:jc w:val="center"/>
            </w:pPr>
            <w:r/>
            <w:r>
              <w:rPr>
                <w:rFonts w:ascii="Aptos" w:hAnsi="Aptos"/>
                <w:b/>
                <w:color w:val="241A2E"/>
                <w:sz w:val="16"/>
              </w:rPr>
              <w:t>What to Expect</w:t>
            </w:r>
          </w:p>
        </w:tc>
        <w:tc>
          <w:tcPr>
            <w:tcW w:type="dxa" w:w="1563"/>
            <w:shd w:fill="EDE4F2"/>
            <w:tcMar>
              <w:top w:w="70" w:type="dxa"/>
              <w:left w:w="70" w:type="dxa"/>
              <w:bottom w:w="70" w:type="dxa"/>
              <w:right w:w="70" w:type="dxa"/>
            </w:tcMar>
          </w:tcPr>
          <w:p>
            <w:pPr>
              <w:jc w:val="center"/>
            </w:pPr>
            <w:r/>
            <w:r>
              <w:rPr>
                <w:rFonts w:ascii="Aptos" w:hAnsi="Aptos"/>
                <w:b/>
                <w:color w:val="241A2E"/>
                <w:sz w:val="16"/>
              </w:rPr>
              <w:t>Pregnancy+</w:t>
            </w:r>
          </w:p>
        </w:tc>
        <w:tc>
          <w:tcPr>
            <w:tcW w:type="dxa" w:w="1563"/>
            <w:shd w:fill="EDE4F2"/>
            <w:tcMar>
              <w:top w:w="70" w:type="dxa"/>
              <w:left w:w="70" w:type="dxa"/>
              <w:bottom w:w="70" w:type="dxa"/>
              <w:right w:w="70" w:type="dxa"/>
            </w:tcMar>
          </w:tcPr>
          <w:p>
            <w:pPr>
              <w:jc w:val="center"/>
            </w:pPr>
            <w:r/>
            <w:r>
              <w:rPr>
                <w:rFonts w:ascii="Aptos" w:hAnsi="Aptos"/>
                <w:b/>
                <w:color w:val="241A2E"/>
                <w:sz w:val="16"/>
              </w:rPr>
              <w:t>Altibbi Mama</w:t>
            </w:r>
          </w:p>
        </w:tc>
      </w:tr>
      <w:tr>
        <w:tc>
          <w:tcPr>
            <w:tcW w:type="dxa" w:w="1563"/>
            <w:shd w:fill="FFFFFF"/>
            <w:tcMar>
              <w:top w:w="70" w:type="dxa"/>
              <w:left w:w="70" w:type="dxa"/>
              <w:bottom w:w="70" w:type="dxa"/>
              <w:right w:w="70" w:type="dxa"/>
            </w:tcMar>
          </w:tcPr>
          <w:p>
            <w:r/>
            <w:r>
              <w:rPr>
                <w:rFonts w:ascii="Aptos" w:hAnsi="Aptos"/>
                <w:b w:val="0"/>
                <w:color w:val="24202B"/>
                <w:sz w:val="15"/>
              </w:rPr>
              <w:t>Arabic-native RTL product experience</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r>
      <w:tr>
        <w:tc>
          <w:tcPr>
            <w:tcW w:type="dxa" w:w="1563"/>
            <w:shd w:fill="FBF8FC"/>
            <w:tcMar>
              <w:top w:w="70" w:type="dxa"/>
              <w:left w:w="70" w:type="dxa"/>
              <w:bottom w:w="70" w:type="dxa"/>
              <w:right w:w="70" w:type="dxa"/>
            </w:tcMar>
          </w:tcPr>
          <w:p>
            <w:r/>
            <w:r>
              <w:rPr>
                <w:rFonts w:ascii="Aptos" w:hAnsi="Aptos"/>
                <w:b w:val="0"/>
                <w:color w:val="24202B"/>
                <w:sz w:val="15"/>
              </w:rPr>
              <w:t>Saudi-specific pregnancy context</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FFFFF"/>
            <w:tcMar>
              <w:top w:w="70" w:type="dxa"/>
              <w:left w:w="70" w:type="dxa"/>
              <w:bottom w:w="70" w:type="dxa"/>
              <w:right w:w="70" w:type="dxa"/>
            </w:tcMar>
          </w:tcPr>
          <w:p>
            <w:r/>
            <w:r>
              <w:rPr>
                <w:rFonts w:ascii="Aptos" w:hAnsi="Aptos"/>
                <w:b w:val="0"/>
                <w:color w:val="24202B"/>
                <w:sz w:val="15"/>
              </w:rPr>
              <w:t>Saudi vaccination schedule</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BF8FC"/>
            <w:tcMar>
              <w:top w:w="70" w:type="dxa"/>
              <w:left w:w="70" w:type="dxa"/>
              <w:bottom w:w="70" w:type="dxa"/>
              <w:right w:w="70" w:type="dxa"/>
            </w:tcMar>
          </w:tcPr>
          <w:p>
            <w:r/>
            <w:r>
              <w:rPr>
                <w:rFonts w:ascii="Aptos" w:hAnsi="Aptos"/>
                <w:b w:val="0"/>
                <w:color w:val="24202B"/>
                <w:sz w:val="15"/>
              </w:rPr>
              <w:t>Pregnancy week-by-week tracking</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r>
      <w:tr>
        <w:tc>
          <w:tcPr>
            <w:tcW w:type="dxa" w:w="1563"/>
            <w:shd w:fill="FFFFFF"/>
            <w:tcMar>
              <w:top w:w="70" w:type="dxa"/>
              <w:left w:w="70" w:type="dxa"/>
              <w:bottom w:w="70" w:type="dxa"/>
              <w:right w:w="70" w:type="dxa"/>
            </w:tcMar>
          </w:tcPr>
          <w:p>
            <w:r/>
            <w:r>
              <w:rPr>
                <w:rFonts w:ascii="Aptos" w:hAnsi="Aptos"/>
                <w:b w:val="0"/>
                <w:color w:val="24202B"/>
                <w:sz w:val="15"/>
              </w:rPr>
              <w:t>Daily check-in / symptom logging</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BF8FC"/>
            <w:tcMar>
              <w:top w:w="70" w:type="dxa"/>
              <w:left w:w="70" w:type="dxa"/>
              <w:bottom w:w="70" w:type="dxa"/>
              <w:right w:w="70" w:type="dxa"/>
            </w:tcMar>
          </w:tcPr>
          <w:p>
            <w:r/>
            <w:r>
              <w:rPr>
                <w:rFonts w:ascii="Aptos" w:hAnsi="Aptos"/>
                <w:b w:val="0"/>
                <w:color w:val="24202B"/>
                <w:sz w:val="15"/>
              </w:rPr>
              <w:t>Kick counter / contraction tracking</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FFFFF"/>
            <w:tcMar>
              <w:top w:w="70" w:type="dxa"/>
              <w:left w:w="70" w:type="dxa"/>
              <w:bottom w:w="70" w:type="dxa"/>
              <w:right w:w="70" w:type="dxa"/>
            </w:tcMar>
          </w:tcPr>
          <w:p>
            <w:r/>
            <w:r>
              <w:rPr>
                <w:rFonts w:ascii="Aptos" w:hAnsi="Aptos"/>
                <w:b w:val="0"/>
                <w:color w:val="24202B"/>
                <w:sz w:val="15"/>
              </w:rPr>
              <w:t>Birth transition to postpartum mode</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BF8FC"/>
            <w:tcMar>
              <w:top w:w="70" w:type="dxa"/>
              <w:left w:w="70" w:type="dxa"/>
              <w:bottom w:w="70" w:type="dxa"/>
              <w:right w:w="70" w:type="dxa"/>
            </w:tcMar>
          </w:tcPr>
          <w:p>
            <w:r/>
            <w:r>
              <w:rPr>
                <w:rFonts w:ascii="Aptos" w:hAnsi="Aptos"/>
                <w:b w:val="0"/>
                <w:color w:val="24202B"/>
                <w:sz w:val="15"/>
              </w:rPr>
              <w:t>40-day postpartum recovery tracker</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r>
      <w:tr>
        <w:tc>
          <w:tcPr>
            <w:tcW w:type="dxa" w:w="1563"/>
            <w:shd w:fill="FFFFFF"/>
            <w:tcMar>
              <w:top w:w="70" w:type="dxa"/>
              <w:left w:w="70" w:type="dxa"/>
              <w:bottom w:w="70" w:type="dxa"/>
              <w:right w:w="70" w:type="dxa"/>
            </w:tcMar>
          </w:tcPr>
          <w:p>
            <w:r/>
            <w:r>
              <w:rPr>
                <w:rFonts w:ascii="Aptos" w:hAnsi="Aptos"/>
                <w:b w:val="0"/>
                <w:color w:val="24202B"/>
                <w:sz w:val="15"/>
              </w:rPr>
              <w:t>Bleeding, pain, C-section, sleep, feeding-stress logs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BF8FC"/>
            <w:tcMar>
              <w:top w:w="70" w:type="dxa"/>
              <w:left w:w="70" w:type="dxa"/>
              <w:bottom w:w="70" w:type="dxa"/>
              <w:right w:w="70" w:type="dxa"/>
            </w:tcMar>
          </w:tcPr>
          <w:p>
            <w:r/>
            <w:r>
              <w:rPr>
                <w:rFonts w:ascii="Aptos" w:hAnsi="Aptos"/>
                <w:b w:val="0"/>
                <w:color w:val="24202B"/>
                <w:sz w:val="15"/>
              </w:rPr>
              <w:t>Baby feeding / pumping / diaper / medication logs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FFFFF"/>
            <w:tcMar>
              <w:top w:w="70" w:type="dxa"/>
              <w:left w:w="70" w:type="dxa"/>
              <w:bottom w:w="70" w:type="dxa"/>
              <w:right w:w="70" w:type="dxa"/>
            </w:tcMar>
          </w:tcPr>
          <w:p>
            <w:r/>
            <w:r>
              <w:rPr>
                <w:rFonts w:ascii="Aptos" w:hAnsi="Aptos"/>
                <w:b w:val="0"/>
                <w:color w:val="24202B"/>
                <w:sz w:val="15"/>
              </w:rPr>
              <w:t>Milestones up to 36 months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BF8FC"/>
            <w:tcMar>
              <w:top w:w="70" w:type="dxa"/>
              <w:left w:w="70" w:type="dxa"/>
              <w:bottom w:w="70" w:type="dxa"/>
              <w:right w:w="70" w:type="dxa"/>
            </w:tcMar>
          </w:tcPr>
          <w:p>
            <w:r/>
            <w:r>
              <w:rPr>
                <w:rFonts w:ascii="Aptos" w:hAnsi="Aptos"/>
                <w:b w:val="0"/>
                <w:color w:val="24202B"/>
                <w:sz w:val="15"/>
              </w:rPr>
              <w:t>Baby journal and share cards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FFFFF"/>
            <w:tcMar>
              <w:top w:w="70" w:type="dxa"/>
              <w:left w:w="70" w:type="dxa"/>
              <w:bottom w:w="70" w:type="dxa"/>
              <w:right w:w="70" w:type="dxa"/>
            </w:tcMar>
          </w:tcPr>
          <w:p>
            <w:r/>
            <w:r>
              <w:rPr>
                <w:rFonts w:ascii="Aptos" w:hAnsi="Aptos"/>
                <w:b w:val="0"/>
                <w:color w:val="24202B"/>
                <w:sz w:val="15"/>
              </w:rPr>
              <w:t>Partner invite and permission model by data category</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r>
      <w:tr>
        <w:tc>
          <w:tcPr>
            <w:tcW w:type="dxa" w:w="1563"/>
            <w:shd w:fill="FBF8FC"/>
            <w:tcMar>
              <w:top w:w="70" w:type="dxa"/>
              <w:left w:w="70" w:type="dxa"/>
              <w:bottom w:w="70" w:type="dxa"/>
              <w:right w:w="70" w:type="dxa"/>
            </w:tcMar>
          </w:tcPr>
          <w:p>
            <w:r/>
            <w:r>
              <w:rPr>
                <w:rFonts w:ascii="Aptos" w:hAnsi="Aptos"/>
                <w:b w:val="0"/>
                <w:color w:val="24202B"/>
                <w:sz w:val="15"/>
              </w:rPr>
              <w:t>Sensitive data hidden from partner by default</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r>
      <w:tr>
        <w:tc>
          <w:tcPr>
            <w:tcW w:type="dxa" w:w="1563"/>
            <w:shd w:fill="FFFFFF"/>
            <w:tcMar>
              <w:top w:w="70" w:type="dxa"/>
              <w:left w:w="70" w:type="dxa"/>
              <w:bottom w:w="70" w:type="dxa"/>
              <w:right w:w="70" w:type="dxa"/>
            </w:tcMar>
          </w:tcPr>
          <w:p>
            <w:r/>
            <w:r>
              <w:rPr>
                <w:rFonts w:ascii="Aptos" w:hAnsi="Aptos"/>
                <w:b w:val="0"/>
                <w:color w:val="24202B"/>
                <w:sz w:val="15"/>
              </w:rPr>
              <w:t>Revoke partner access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r>
      <w:tr>
        <w:tc>
          <w:tcPr>
            <w:tcW w:type="dxa" w:w="1563"/>
            <w:shd w:fill="FBF8FC"/>
            <w:tcMar>
              <w:top w:w="70" w:type="dxa"/>
              <w:left w:w="70" w:type="dxa"/>
              <w:bottom w:w="70" w:type="dxa"/>
              <w:right w:w="70" w:type="dxa"/>
            </w:tcMar>
          </w:tcPr>
          <w:p>
            <w:r/>
            <w:r>
              <w:rPr>
                <w:rFonts w:ascii="Aptos" w:hAnsi="Aptos"/>
                <w:b w:val="0"/>
                <w:color w:val="24202B"/>
                <w:sz w:val="15"/>
              </w:rPr>
              <w:t>Privacy Center with export/delete requests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FFFFF"/>
            <w:tcMar>
              <w:top w:w="70" w:type="dxa"/>
              <w:left w:w="70" w:type="dxa"/>
              <w:bottom w:w="70" w:type="dxa"/>
              <w:right w:w="70" w:type="dxa"/>
            </w:tcMar>
          </w:tcPr>
          <w:p>
            <w:r/>
            <w:r>
              <w:rPr>
                <w:rFonts w:ascii="Aptos" w:hAnsi="Aptos"/>
                <w:b w:val="0"/>
                <w:color w:val="24202B"/>
                <w:sz w:val="15"/>
              </w:rPr>
              <w:t>Persisted consent and AI data controls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r>
      <w:tr>
        <w:tc>
          <w:tcPr>
            <w:tcW w:type="dxa" w:w="1563"/>
            <w:shd w:fill="FBF8FC"/>
            <w:tcMar>
              <w:top w:w="70" w:type="dxa"/>
              <w:left w:w="70" w:type="dxa"/>
              <w:bottom w:w="70" w:type="dxa"/>
              <w:right w:w="70" w:type="dxa"/>
            </w:tcMar>
          </w:tcPr>
          <w:p>
            <w:r/>
            <w:r>
              <w:rPr>
                <w:rFonts w:ascii="Aptos" w:hAnsi="Aptos"/>
                <w:b w:val="0"/>
                <w:color w:val="24202B"/>
                <w:sz w:val="15"/>
              </w:rPr>
              <w:t>AI companion / assistant</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FFFFF"/>
            <w:tcMar>
              <w:top w:w="70" w:type="dxa"/>
              <w:left w:w="70" w:type="dxa"/>
              <w:bottom w:w="70" w:type="dxa"/>
              <w:right w:w="70" w:type="dxa"/>
            </w:tcMar>
          </w:tcPr>
          <w:p>
            <w:r/>
            <w:r>
              <w:rPr>
                <w:rFonts w:ascii="Aptos" w:hAnsi="Aptos"/>
                <w:b w:val="0"/>
                <w:color w:val="24202B"/>
                <w:sz w:val="15"/>
              </w:rPr>
              <w:t>Safety-aware AI escalation tests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r>
      <w:tr>
        <w:tc>
          <w:tcPr>
            <w:tcW w:type="dxa" w:w="1563"/>
            <w:shd w:fill="FBF8FC"/>
            <w:tcMar>
              <w:top w:w="70" w:type="dxa"/>
              <w:left w:w="70" w:type="dxa"/>
              <w:bottom w:w="70" w:type="dxa"/>
              <w:right w:w="70" w:type="dxa"/>
            </w:tcMar>
          </w:tcPr>
          <w:p>
            <w:r/>
            <w:r>
              <w:rPr>
                <w:rFonts w:ascii="Aptos" w:hAnsi="Aptos"/>
                <w:b w:val="0"/>
                <w:color w:val="24202B"/>
                <w:sz w:val="15"/>
              </w:rPr>
              <w:t>Content review/admin governance workflow</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r>
      <w:tr>
        <w:tc>
          <w:tcPr>
            <w:tcW w:type="dxa" w:w="1563"/>
            <w:shd w:fill="FFFFFF"/>
            <w:tcMar>
              <w:top w:w="70" w:type="dxa"/>
              <w:left w:w="70" w:type="dxa"/>
              <w:bottom w:w="70" w:type="dxa"/>
              <w:right w:w="70" w:type="dxa"/>
            </w:tcMar>
          </w:tcPr>
          <w:p>
            <w:r/>
            <w:r>
              <w:rPr>
                <w:rFonts w:ascii="Aptos" w:hAnsi="Aptos"/>
                <w:b w:val="0"/>
                <w:color w:val="24202B"/>
                <w:sz w:val="15"/>
              </w:rPr>
              <w:t>Notification quiet hours and language-specific copy</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BF8FC"/>
            <w:tcMar>
              <w:top w:w="70" w:type="dxa"/>
              <w:left w:w="70" w:type="dxa"/>
              <w:bottom w:w="70" w:type="dxa"/>
              <w:right w:w="70" w:type="dxa"/>
            </w:tcMar>
          </w:tcPr>
          <w:p>
            <w:r/>
            <w:r>
              <w:rPr>
                <w:rFonts w:ascii="Aptos" w:hAnsi="Aptos"/>
                <w:b w:val="0"/>
                <w:color w:val="24202B"/>
                <w:sz w:val="15"/>
              </w:rPr>
              <w:t>Referral codes and WhatsApp share loops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FFFFF"/>
            <w:tcMar>
              <w:top w:w="70" w:type="dxa"/>
              <w:left w:w="70" w:type="dxa"/>
              <w:bottom w:w="70" w:type="dxa"/>
              <w:right w:w="70" w:type="dxa"/>
            </w:tcMar>
          </w:tcPr>
          <w:p>
            <w:r/>
            <w:r>
              <w:rPr>
                <w:rFonts w:ascii="Aptos" w:hAnsi="Aptos"/>
                <w:b w:val="0"/>
                <w:color w:val="24202B"/>
                <w:sz w:val="15"/>
              </w:rPr>
              <w:t>Clinic QR attribution</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r>
      <w:tr>
        <w:tc>
          <w:tcPr>
            <w:tcW w:type="dxa" w:w="1563"/>
            <w:shd w:fill="FBF8FC"/>
            <w:tcMar>
              <w:top w:w="70" w:type="dxa"/>
              <w:left w:w="70" w:type="dxa"/>
              <w:bottom w:w="70" w:type="dxa"/>
              <w:right w:w="70" w:type="dxa"/>
            </w:tcMar>
          </w:tcPr>
          <w:p>
            <w:r/>
            <w:r>
              <w:rPr>
                <w:rFonts w:ascii="Aptos" w:hAnsi="Aptos"/>
                <w:b w:val="0"/>
                <w:color w:val="24202B"/>
                <w:sz w:val="15"/>
              </w:rPr>
              <w:t>Due-date cohort model</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FF1C7"/>
            <w:tcMar>
              <w:top w:w="70" w:type="dxa"/>
              <w:left w:w="70" w:type="dxa"/>
              <w:bottom w:w="70" w:type="dxa"/>
              <w:right w:w="70" w:type="dxa"/>
            </w:tcMar>
          </w:tcPr>
          <w:p>
            <w:pPr>
              <w:jc w:val="center"/>
            </w:pPr>
            <w:r/>
            <w:r>
              <w:rPr>
                <w:rFonts w:ascii="Aptos" w:hAnsi="Aptos"/>
                <w:b/>
                <w:color w:val="9A6500"/>
                <w:sz w:val="14"/>
              </w:rPr>
              <w:t>PARTIAL</w:t>
            </w:r>
          </w:p>
        </w:tc>
      </w:tr>
      <w:tr>
        <w:tc>
          <w:tcPr>
            <w:tcW w:type="dxa" w:w="1563"/>
            <w:shd w:fill="FFFFFF"/>
            <w:tcMar>
              <w:top w:w="70" w:type="dxa"/>
              <w:left w:w="70" w:type="dxa"/>
              <w:bottom w:w="70" w:type="dxa"/>
              <w:right w:w="70" w:type="dxa"/>
            </w:tcMar>
          </w:tcPr>
          <w:p>
            <w:r/>
            <w:r>
              <w:rPr>
                <w:rFonts w:ascii="Aptos" w:hAnsi="Aptos"/>
                <w:b w:val="0"/>
                <w:color w:val="24202B"/>
                <w:sz w:val="15"/>
              </w:rPr>
              <w:t>B2B sponsored access / entitlement checks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r>
      <w:tr>
        <w:tc>
          <w:tcPr>
            <w:tcW w:type="dxa" w:w="1563"/>
            <w:shd w:fill="FBF8FC"/>
            <w:tcMar>
              <w:top w:w="70" w:type="dxa"/>
              <w:left w:w="70" w:type="dxa"/>
              <w:bottom w:w="70" w:type="dxa"/>
              <w:right w:w="70" w:type="dxa"/>
            </w:tcMar>
          </w:tcPr>
          <w:p>
            <w:r/>
            <w:r>
              <w:rPr>
                <w:rFonts w:ascii="Aptos" w:hAnsi="Aptos"/>
                <w:b w:val="0"/>
                <w:color w:val="24202B"/>
                <w:sz w:val="15"/>
              </w:rPr>
              <w:t>Aggregate-only reporting with privacy thresholds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c>
          <w:tcPr>
            <w:tcW w:type="dxa" w:w="1563"/>
            <w:shd w:fill="F8D9DD"/>
            <w:tcMar>
              <w:top w:w="70" w:type="dxa"/>
              <w:left w:w="70" w:type="dxa"/>
              <w:bottom w:w="70" w:type="dxa"/>
              <w:right w:w="70" w:type="dxa"/>
            </w:tcMar>
          </w:tcPr>
          <w:p>
            <w:pPr>
              <w:jc w:val="center"/>
            </w:pPr>
            <w:r/>
            <w:r>
              <w:rPr>
                <w:rFonts w:ascii="Aptos" w:hAnsi="Aptos"/>
                <w:b/>
                <w:color w:val="A22A35"/>
                <w:sz w:val="14"/>
              </w:rPr>
              <w:t>NO</w:t>
            </w:r>
          </w:p>
        </w:tc>
      </w:tr>
      <w:tr>
        <w:tc>
          <w:tcPr>
            <w:tcW w:type="dxa" w:w="1563"/>
            <w:shd w:fill="FFFFFF"/>
            <w:tcMar>
              <w:top w:w="70" w:type="dxa"/>
              <w:left w:w="70" w:type="dxa"/>
              <w:bottom w:w="70" w:type="dxa"/>
              <w:right w:w="70" w:type="dxa"/>
            </w:tcMar>
          </w:tcPr>
          <w:p>
            <w:r/>
            <w:r>
              <w:rPr>
                <w:rFonts w:ascii="Aptos" w:hAnsi="Aptos"/>
                <w:b w:val="0"/>
                <w:color w:val="24202B"/>
                <w:sz w:val="15"/>
              </w:rPr>
              <w:t>Open community / birth clubs</w:t>
            </w:r>
          </w:p>
        </w:tc>
        <w:tc>
          <w:tcPr>
            <w:tcW w:type="dxa" w:w="1563"/>
            <w:shd w:fill="E8E1FA"/>
            <w:tcMar>
              <w:top w:w="70" w:type="dxa"/>
              <w:left w:w="70" w:type="dxa"/>
              <w:bottom w:w="70" w:type="dxa"/>
              <w:right w:w="70" w:type="dxa"/>
            </w:tcMar>
          </w:tcPr>
          <w:p>
            <w:pPr>
              <w:jc w:val="center"/>
            </w:pPr>
            <w:r/>
            <w:r>
              <w:rPr>
                <w:rFonts w:ascii="Aptos" w:hAnsi="Aptos"/>
                <w:b/>
                <w:color w:val="5B299B"/>
                <w:sz w:val="14"/>
              </w:rPr>
              <w:t>DELAYED</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c>
          <w:tcPr>
            <w:tcW w:type="dxa" w:w="1563"/>
            <w:shd w:fill="DFF3E8"/>
            <w:tcMar>
              <w:top w:w="70" w:type="dxa"/>
              <w:left w:w="70" w:type="dxa"/>
              <w:bottom w:w="70" w:type="dxa"/>
              <w:right w:w="70" w:type="dxa"/>
            </w:tcMar>
          </w:tcPr>
          <w:p>
            <w:pPr>
              <w:jc w:val="center"/>
            </w:pPr>
            <w:r/>
            <w:r>
              <w:rPr>
                <w:rFonts w:ascii="Aptos" w:hAnsi="Aptos"/>
                <w:b/>
                <w:color w:val="147A4B"/>
                <w:sz w:val="14"/>
              </w:rPr>
              <w:t>YES</w:t>
            </w:r>
          </w:p>
        </w:tc>
      </w:tr>
    </w:tbl>
    <w:p>
      <w:r>
        <w:rPr>
          <w:color w:val="5E5666"/>
          <w:sz w:val="16"/>
        </w:rPr>
        <w:t>Based on Rifqa completed roadmap and public competitor product pages/app listings reviewed on April 28, 2026. This is a strategic positioning view, not a claim about non-public experiments.</w:t>
      </w:r>
    </w:p>
    <w:sectPr>
      <w:pgSz w:orient="landscape"/>
      <w:pgMar w:top="648" w:bottom="648" w:left="648" w:right="6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B299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B299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