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8"/>
          <w:szCs w:val="48"/>
        </w:rPr>
        <w:t xml:space="preserve"/>
      </w:r>
    </w:p>
    <w:p>
      <w:r>
        <w:rPr>
          <w:sz w:val="48"/>
          <w:szCs w:val="48"/>
        </w:rPr>
        <w:t xml:space="preserve"/>
      </w:r>
    </w:p>
    <w:p>
      <w:r>
        <w:rPr>
          <w:sz w:val="48"/>
          <w:szCs w:val="48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V-AXIS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Virtual Asset eXchange &amp; Intelligence System</w:t>
      </w:r>
    </w:p>
    <w:p>
      <w:r>
        <w:rPr>
          <w:sz w:val="24"/>
          <w:szCs w:val="24"/>
        </w:rPr>
        <w:t xml:space="preserve"/>
      </w:r>
    </w:p>
    <w:p>
      <w:pPr>
        <w:pBdr>
          <w:top w:val="single" w:color="2E75B6" w:sz="8"/>
          <w:bottom w:val="single" w:color="2E75B6" w:sz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Security &amp; Compliance Specification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Encryption Standards | Identity Governance | Audit Trails | GCC Data Residency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 Number: VAXIS-SEC-001  |  Version: v1.0  |  Date: March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AA0000"/>
          <w:sz w:val="20"/>
          <w:szCs w:val="20"/>
        </w:rPr>
        <w:t xml:space="preserve">Classification: Confidential — Development Team Use Only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document defines the security architecture, compliance requirements, and audit controls for V-AXIS. As a platform handling sensitive corporate, legal, and financial documents for regulated GCC enterprises, V-AXIS must meet the highest standards of data security, identity governance, and compliance auditability. All development must be reviewed against this specification before any feature is merged to production.</w:t>
      </w:r>
    </w:p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Encryption Standards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Data at 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Encryption Standard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Management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Database data (all tables)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AES-256 (transparent database encryption)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Managed by database engine; keys rotated annually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 files in vault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AES-256 per-file encryption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Per-tenant encryption keys; rotated on tenant offboarding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MFA TOTP secrets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AES-256 application-level encryption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Encryption key stored in HSM or secrets manager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Backup data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AES-256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Same key management as live data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Offline vault (local device)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AES-256; key derived from user credential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Key never leaves the device; no server-side key copy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Data in Transit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client-server communication: TLS 1.3 (TLS 1.2 minimum; TLS 1.0/1.1 disabled).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Storage Connector Agent (On-Premise mode): mTLS with certificate pinning.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Internal service-to-service calls: TLS 1.3 with service mesh mTLS.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Webhook deliveries to external systems: HTTPS required; HTTP endpoints rejected.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API keys and secrets: never transmitted in query parameters; always in request headers or body.</w:t>
      </w:r>
    </w:p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Identity Governance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Authentication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bcrypt with cost factor 12 minimum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JWT signing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RS256 (asymmetric); private key stored in HSM or secrets manager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Token expiry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Access Token: 15 minutes; Refresh Token: 30 days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Session termination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Logout revokes Refresh Token; Access Token blocklisted (Redis)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Concurrent sessions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Maximum 3 active sessions per user; oldest session revoked on 4th login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IP rate limiting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 failed login attempts per IP per 15-minute window triggers temporary block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Account lockout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 failed attempts per user triggers 15-minute lockout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Role-Based Access Control (RBAC)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API endpoints enforce RBAC checks via middleware before any business logic executes.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Permission checks are additive: a user must have ALL required permissions for an 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RBAC rules are evaluated server-side only; client-side UI restrictions are for UX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Permission changes take effect on next API request; no re-login required.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Privilege Escalation Prevention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Users cannot grant themselves or others permissions they do not already possess.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Client Admins cannot access Master Admin functions; API returns HTTP 403.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Cross-tenant resource access is blocked at the database RLS layer and API middleware (defense in depth).</w:t>
      </w:r>
    </w:p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Audit Trail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Audit Log Scope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following events must generate an immutable audit log entry: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Category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Events Logged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Login (success/failure), logout, MFA enrollment, password reset, account lock/unlock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 user, update user, deactivate user, change role, update permissions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Taxonomy Changes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Create/edit/deactivate category or entity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 Operations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Upload, download, view, replace, archive, delete, mark as Critical Master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Notification Events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Alert created, acknowledged, resolved, escalated, delegated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Integration Events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Connector created/modified/deleted, sync executed, webhook triggered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 Operations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Tenant configuration changes, vault mode changes, bulk exports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Audit Log Record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Immutable primary key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Tenant context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 who performed the action (NULL for system-generated events)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event_type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Namespaced event code (e.g., "document.uploaded", "user.login.failed")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resource_type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Type of resource affected: DOCUMENT | USER | ENTITY | NOTIFICATION | etc.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resource_id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 of the affected resource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ip_address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Client IP (IPv4 or IPv6)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user_agent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Browser/client user agent string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Event-specific context (before/after values for updates)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UTC timestamp; immutable; set by database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Audit Log Immutability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 UPDATE or DELETE operations are permitted on the audit_logs table by any application role.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Audit logs are append-only; enforced at both the ORM layer and the database role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Audit logs are replicated to a separate write-once log storage (e.g., S3 with Object Lock) for long-term retention.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Retention policy: 7 years minimum for compliance with GCC regulatory requirements.</w:t>
      </w:r>
    </w:p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Data Residency &amp; GCC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Saudi Arabia data residency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Option to deploy database and storage in KSA AWS/Azure region (me-central-1 / uae-north)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PDPL compliance (Saudi)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Personal data processing complies with Saudi Personal Data Protection Law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Cross-border data transfer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Tenant configuration includes data residency selection; transfers only to approved regions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Data subject rights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 can export and delete user PII upon request via Admin settings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Vulnerability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third-party dependencies must be scanned with a SAST/SCA tool (e.g., Snyk, Dependabot) on every pull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Critical and High CVEs must be remediated within 7 days of disclosure.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Annual penetration testing by a certified third party. Findings are tracked to resolution.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OWASP Top 10 must be reviewed and addressed before each major release.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Secrets (API keys, database passwords, JWT private keys) must never be committed to version control. Use secrets management (Vault, AWS Secrets Manager, etc.).</w:t>
      </w:r>
    </w:p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Incident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Incident Severity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SLA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P1 — Critical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Data breach, unauthorized cross-tenant access, complete service outage</w:t>
            </w:r>
          </w:p>
        </w:tc>
        <w:tc>
          <w:tcPr>
            <w:tcW w:type="dxa" w:w="3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15-minute response; 4-hour resolution target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P2 — High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Partial service degradation, authentication failure affecting &gt;10 users</w:t>
            </w:r>
          </w:p>
        </w:tc>
        <w:tc>
          <w:tcPr>
            <w:tcW w:type="dxa" w:w="3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1-hour response; 8-hour resolution target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P3 — Medium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Feature degradation affecting non-critical functions</w:t>
            </w:r>
          </w:p>
        </w:tc>
        <w:tc>
          <w:tcPr>
            <w:tcW w:type="dxa" w:w="3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4-hour response; 24-hour resolution target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P4 — Low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Minor UI bugs, cosmetic issues</w:t>
            </w:r>
          </w:p>
        </w:tc>
        <w:tc>
          <w:tcPr>
            <w:tcW w:type="dxa" w:w="3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Next sprint response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V-AXIS Development Handoff  |  Doc VAXIS-SEC-001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V-AXIS  |  </w:t>
    </w:r>
    <w:r>
      <w:rPr>
        <w:rFonts w:ascii="Arial" w:cs="Arial" w:eastAsia="Arial" w:hAnsi="Arial"/>
        <w:color w:val="666666"/>
        <w:sz w:val="18"/>
        <w:szCs w:val="18"/>
      </w:rPr>
      <w:t xml:space="preserve">Security &amp; Compliance Specification</w:t>
    </w:r>
    <w:r>
      <w:rPr>
        <w:rFonts w:ascii="Arial" w:cs="Arial" w:eastAsia="Arial" w:hAnsi="Arial"/>
        <w:b/>
        <w:bCs/>
        <w:color w:val="AA0000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2026-03-31T12:43:16.830Z</dcterms:created>
  <dcterms:modified xsi:type="dcterms:W3CDTF">2026-03-31T12:43:16.830Z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