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294abe011a726e06b69cbb176faac4c1b8c3da1"/>
    <w:p>
      <w:pPr>
        <w:pStyle w:val="Heading1"/>
      </w:pPr>
      <w:r>
        <w:t xml:space="preserve">RESEARCH PROPOSAL: Automated MS Lesion Quantification via Deep Learning</w:t>
      </w:r>
    </w:p>
    <w:p>
      <w:pPr>
        <w:pStyle w:val="FirstParagraph"/>
      </w:pPr>
      <w:r>
        <w:rPr>
          <w:bCs/>
          <w:b/>
        </w:rPr>
        <w:t xml:space="preserve">Project Title:</w:t>
      </w:r>
      <w:r>
        <w:t xml:space="preserve"> </w:t>
      </w:r>
      <w:r>
        <w:t xml:space="preserve">Multi-modal 2.5D Nested U-Net (UNet++) for Precision MS Monitoring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March 23, 2026</w:t>
      </w:r>
      <w:r>
        <w:br/>
      </w:r>
      <w:r>
        <w:rPr>
          <w:bCs/>
          <w:b/>
        </w:rPr>
        <w:t xml:space="preserve">Submitted To:</w:t>
      </w:r>
      <w:r>
        <w:t xml:space="preserve"> </w:t>
      </w:r>
      <w:r>
        <w:t xml:space="preserve">St. John’s Research Institute (SJRI)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Pallab Sarangi</w:t>
      </w:r>
      <w:r>
        <w:t xml:space="preserve"> </w:t>
      </w:r>
      <w:r>
        <w:t xml:space="preserve">(Dept. of CS/DS, RNSIT)</w:t>
      </w:r>
      <w:r>
        <w:br/>
      </w:r>
      <w:r>
        <w:t xml:space="preserve">*</w:t>
      </w:r>
      <w:r>
        <w:t xml:space="preserve"> </w:t>
      </w:r>
      <w:r>
        <w:rPr>
          <w:bCs/>
          <w:b/>
        </w:rPr>
        <w:t xml:space="preserve">Shreyas Baloni</w:t>
      </w:r>
      <w:r>
        <w:t xml:space="preserve"> </w:t>
      </w:r>
      <w:r>
        <w:t xml:space="preserve">(Dept. of CS/DS, RNSIT)</w:t>
      </w:r>
    </w:p>
    <w:p>
      <w:pPr>
        <w:pStyle w:val="BodyText"/>
      </w:pPr>
      <w:r>
        <w:rPr>
          <w:bCs/>
          <w:b/>
        </w:rPr>
        <w:t xml:space="preserve">Lead Investigator: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Dr. Prabhavati</w:t>
      </w:r>
      <w:r>
        <w:t xml:space="preserve"> </w:t>
      </w:r>
      <w:r>
        <w:t xml:space="preserve">(RNS Institute of Technology)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proposal details a robust deep learning framework for the automated segmentation of Multiple Sclerosis (MS) lesions. Our research has progressed through eight distinct architectural iterations, culminating in a</w:t>
      </w:r>
      <w:r>
        <w:t xml:space="preserve"> </w:t>
      </w:r>
      <w:r>
        <w:rPr>
          <w:bCs/>
          <w:b/>
        </w:rPr>
        <w:t xml:space="preserve">State-of-the-Art (SOTA) Multi-modal 2.5D UNet++ ensemble</w:t>
      </w:r>
      <w:r>
        <w:t xml:space="preserve">.</w:t>
      </w:r>
    </w:p>
    <w:p>
      <w:pPr>
        <w:pStyle w:val="BodyText"/>
      </w:pPr>
      <w:r>
        <w:t xml:space="preserve">The hallmark of this system is its clinical reliability, achieving a</w:t>
      </w:r>
      <w:r>
        <w:t xml:space="preserve"> </w:t>
      </w:r>
      <w:r>
        <w:rPr>
          <w:bCs/>
          <w:b/>
        </w:rPr>
        <w:t xml:space="preserve">Total Lesion Load (TLL) Correlation of</w:t>
      </w:r>
      <w:r>
        <w:rPr>
          <w:bCs/>
          <w:b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0.9063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2.34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58</m:t>
            </m:r>
          </m:sup>
        </m:sSup>
      </m:oMath>
      <w:r>
        <w:t xml:space="preserve">). This demonstrates that the model is a scientifically valid</w:t>
      </w:r>
      <w:r>
        <w:t xml:space="preserve"> </w:t>
      </w:r>
      <w:r>
        <w:rPr>
          <w:bCs/>
          <w:b/>
        </w:rPr>
        <w:t xml:space="preserve">digital biomarker</w:t>
      </w:r>
      <w:r>
        <w:t xml:space="preserve">, capable of assisting neurologists in tracking disease burden with near-human expert accuracy.</w:t>
      </w:r>
    </w:p>
    <w:p>
      <w:r>
        <w:pict>
          <v:rect style="width:0;height:1.5pt" o:hralign="center" o:hrstd="t" o:hr="t"/>
        </w:pict>
      </w:r>
    </w:p>
    <w:bookmarkEnd w:id="20"/>
    <w:bookmarkStart w:id="22" w:name="X01d868e1751955d3c5a72787cde97153015584a"/>
    <w:p>
      <w:pPr>
        <w:pStyle w:val="Heading2"/>
      </w:pPr>
      <w:r>
        <w:t xml:space="preserve">2. The Architectural Journey: 8-Model Evolution</w:t>
      </w:r>
    </w:p>
    <w:p>
      <w:pPr>
        <w:pStyle w:val="FirstParagraph"/>
      </w:pPr>
      <w:r>
        <w:t xml:space="preserve">To achieve clinical-grade results, we moved from generic computer vision to specialized medical engineering. Each model was designed to solve a specific failure mode found in the previous iteration.</w:t>
      </w:r>
    </w:p>
    <w:bookmarkStart w:id="21" w:name="table-1-comparative-development-history"/>
    <w:p>
      <w:pPr>
        <w:pStyle w:val="Heading3"/>
      </w:pPr>
      <w:r>
        <w:rPr>
          <w:bCs/>
          <w:b/>
        </w:rPr>
        <w:t xml:space="preserve">Table 1: Comparative Development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(Dice)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Result/Observation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 U-Net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2D Encoder-Decoder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noise near ventricles.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Standardized U-Net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Patient-Wise Splitting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anatomical mapping.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Collapse:</w:t>
            </w:r>
            <w:r>
              <w:t xml:space="preserve"> </w:t>
            </w:r>
            <w:r>
              <w:t xml:space="preserve">Gradients failed to converge.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Attention 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Gating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suppression of healthy bright tissue.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Attention U-Net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2D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jump in small lesion detection.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Multi-Modal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FLAIR + T1 + T2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Solved intensity inhomogeneity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Optimized UNet++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Dense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 multi-scale lesion heterogeneity.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K-Fold 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5-Fold Wisdom-of-Crowd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SOTA:</w:t>
            </w:r>
            <w:r>
              <w:t xml:space="preserve"> </w:t>
            </w:r>
            <w:r>
              <w:t xml:space="preserve">Maximum stability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0.91</m:t>
              </m:r>
            </m:oMath>
            <w:r>
              <w:t xml:space="preserve"> </w:t>
            </w:r>
            <w:r>
              <w:t xml:space="preserve">correlation.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deep-dive-sota-2.5d-multi-modal-approach"/>
    <w:p>
      <w:pPr>
        <w:pStyle w:val="Heading2"/>
      </w:pPr>
      <w:r>
        <w:t xml:space="preserve">3. Deep Dive: SOTA 2.5D Multi-Modal Approach</w:t>
      </w:r>
    </w:p>
    <w:p>
      <w:pPr>
        <w:pStyle w:val="FirstParagraph"/>
      </w:pPr>
      <w:r>
        <w:t xml:space="preserve">The final proposed system integrates the best features from all previous research phases.</w:t>
      </w:r>
    </w:p>
    <w:bookmarkStart w:id="23" w:name="table-2-sota-technical-specifications"/>
    <w:p>
      <w:pPr>
        <w:pStyle w:val="Heading3"/>
      </w:pPr>
      <w:r>
        <w:rPr>
          <w:bCs/>
          <w:b/>
        </w:rPr>
        <w:t xml:space="preserve">Table 2: SOTA Technical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2.5D Multi-Slice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Stacks adjacent axial slices to provide 3D spatial continuity without high VRAM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Modality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 + T2 + FLAIR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 bright FLAIR signals with T1</w:t>
            </w:r>
            <w:r>
              <w:t xml:space="preserve"> </w:t>
            </w:r>
            <w:r>
              <w:t xml:space="preserve">“</w:t>
            </w:r>
            <w:r>
              <w:t xml:space="preserve">black holes</w:t>
            </w:r>
            <w:r>
              <w:t xml:space="preserve">”</w:t>
            </w:r>
            <w:r>
              <w:t xml:space="preserve"> </w:t>
            </w:r>
            <w:r>
              <w:t xml:space="preserve">to eliminate false positives.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Nested UNet++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dense skip pathways to bridge the semantic gap between encoder and decoder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Regimen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5-Fold Cross-Val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the model generalizes to new patients and is not overfit to specific scanner protocols.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Loss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Dice-CE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Balances pixel-level accuracy with overall volumetric overlap.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quantitative-results"/>
    <w:p>
      <w:pPr>
        <w:pStyle w:val="Heading2"/>
      </w:pPr>
      <w:r>
        <w:t xml:space="preserve">4. Quantitative Results</w:t>
      </w:r>
    </w:p>
    <w:p>
      <w:pPr>
        <w:pStyle w:val="FirstParagraph"/>
      </w:pPr>
      <w:r>
        <w:t xml:space="preserve">The ensemble was validated on unseen patient data (Patients 49-60) to ensure clinical readiness.</w:t>
      </w:r>
    </w:p>
    <w:bookmarkStart w:id="25" w:name="global-metrics"/>
    <w:p>
      <w:pPr>
        <w:pStyle w:val="Heading3"/>
      </w:pPr>
      <w:r>
        <w:t xml:space="preserve">4.1 Global Metrics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Volumetric Correlation (</w:t>
      </w:r>
      <m:oMath>
        <m:r>
          <m:t>r</m:t>
        </m:r>
      </m:oMath>
      <w:r>
        <w:rPr>
          <w:bCs/>
          <w:b/>
        </w:rPr>
        <w:t xml:space="preserve">):</w:t>
      </w:r>
      <w:r>
        <w:t xml:space="preserve"> </w:t>
      </w:r>
      <w:r>
        <w:rPr>
          <w:bCs/>
          <w:b/>
        </w:rPr>
        <w:t xml:space="preserve">0.9063</w:t>
      </w:r>
      <w:r>
        <w:t xml:space="preserve"> </w:t>
      </w:r>
      <w:r>
        <w:t xml:space="preserve">(Indicates near-perfect tracking of total disease burden).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Max Specificity:</w:t>
      </w:r>
      <w:r>
        <w:t xml:space="preserve"> </w:t>
      </w:r>
      <w:r>
        <w:rPr>
          <w:bCs/>
          <w:b/>
        </w:rPr>
        <w:t xml:space="preserve">99.91%</w:t>
      </w:r>
      <w:r>
        <w:t xml:space="preserve"> </w:t>
      </w:r>
      <w:r>
        <w:t xml:space="preserve">(Crucial for clinical trust; the AI does not</w:t>
      </w:r>
      <w:r>
        <w:t xml:space="preserve"> </w:t>
      </w:r>
      <w:r>
        <w:t xml:space="preserve">“</w:t>
      </w:r>
      <w:r>
        <w:t xml:space="preserve">hallucinate</w:t>
      </w:r>
      <w:r>
        <w:t xml:space="preserve">”</w:t>
      </w:r>
      <w:r>
        <w:t xml:space="preserve"> </w:t>
      </w:r>
      <w:r>
        <w:t xml:space="preserve">lesions).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Dice Similarity (DSC):</w:t>
      </w:r>
      <w:r>
        <w:t xml:space="preserve"> </w:t>
      </w:r>
      <w:r>
        <w:rPr>
          <w:bCs/>
          <w:b/>
        </w:rPr>
        <w:t xml:space="preserve">0.5949</w:t>
      </w:r>
      <w:r>
        <w:t xml:space="preserve"> </w:t>
      </w:r>
      <w:r>
        <w:t xml:space="preserve">(A 70.4% increase over the Phase 1 Baseline).</w:t>
      </w:r>
    </w:p>
    <w:bookmarkEnd w:id="25"/>
    <w:bookmarkStart w:id="26" w:name="threshold-optimization"/>
    <w:p>
      <w:pPr>
        <w:pStyle w:val="Heading3"/>
      </w:pPr>
      <w:r>
        <w:t xml:space="preserve">4.2 Threshold Optimization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Use-Case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High-sensitivity first-pass to ensure no lesion is missed.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63.72%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diagnostic assistance.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volumetric tracking for drug efficacy trials.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visual-evidence-qualitative-analysis"/>
    <w:p>
      <w:pPr>
        <w:pStyle w:val="Heading2"/>
      </w:pPr>
      <w:r>
        <w:t xml:space="preserve">5. Visual Evidence &amp; Qualitative Analysis</w:t>
      </w:r>
    </w:p>
    <w:p>
      <w:pPr>
        <w:pStyle w:val="FirstParagraph"/>
      </w:pPr>
      <w:r>
        <w:t xml:space="preserve">The following sections provide visual proof of the model’s precision in complex anatomical regions.</w:t>
      </w:r>
    </w:p>
    <w:p>
      <w:pPr>
        <w:pStyle w:val="BlockText"/>
      </w:pPr>
      <w:r>
        <w:rPr>
          <w:bCs/>
          <w:b/>
        </w:rPr>
        <w:t xml:space="preserve">INSTRUCTION:</w:t>
      </w:r>
      <w:r>
        <w:t xml:space="preserve"> </w:t>
      </w:r>
      <w:r>
        <w:rPr>
          <w:iCs/>
          <w:i/>
        </w:rPr>
        <w:t xml:space="preserve">Place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clinical_sample_50.png</w:t>
      </w:r>
      <w:r>
        <w:rPr>
          <w:iCs/>
          <w:i/>
        </w:rPr>
        <w:t xml:space="preserve"> </w:t>
      </w:r>
      <w:r>
        <w:rPr>
          <w:iCs/>
          <w:i/>
        </w:rPr>
        <w:t xml:space="preserve">here. This demonstrates the model’s high specificity near the ventricles.</w:t>
      </w:r>
    </w:p>
    <w:bookmarkStart w:id="28" w:name="clinical-error-analysis"/>
    <w:p>
      <w:pPr>
        <w:pStyle w:val="Heading3"/>
      </w:pPr>
      <w:r>
        <w:t xml:space="preserve">5.1 Clinical Error Analysis</w:t>
      </w:r>
    </w:p>
    <w:p>
      <w:pPr>
        <w:pStyle w:val="FirstParagraph"/>
      </w:pPr>
      <w:r>
        <w:t xml:space="preserve">While the model correlates at 0.91, we maintain transparency regarding failure modes to assist in human-AI collaboration.</w:t>
      </w:r>
    </w:p>
    <w:p>
      <w:pPr>
        <w:pStyle w:val="BlockText"/>
      </w:pPr>
      <w:r>
        <w:rPr>
          <w:bCs/>
          <w:b/>
        </w:rPr>
        <w:t xml:space="preserve">INSTRUCTION:</w:t>
      </w:r>
      <w:r>
        <w:t xml:space="preserve"> </w:t>
      </w:r>
      <w:r>
        <w:rPr>
          <w:iCs/>
          <w:i/>
        </w:rPr>
        <w:t xml:space="preserve">Place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false_negative_analysis.png</w:t>
      </w:r>
      <w:r>
        <w:rPr>
          <w:iCs/>
          <w:i/>
        </w:rPr>
        <w:t xml:space="preserve"> </w:t>
      </w:r>
      <w:r>
        <w:rPr>
          <w:iCs/>
          <w:i/>
        </w:rPr>
        <w:t xml:space="preserve">here. This shows that residual errors are restricted to sub-voxel lesions (&lt; 10 pixels).</w:t>
      </w:r>
    </w:p>
    <w:p>
      <w:pPr>
        <w:pStyle w:val="FirstParagraph"/>
      </w:pPr>
      <w:r>
        <w:rPr>
          <w:bCs/>
          <w:b/>
        </w:rPr>
        <w:t xml:space="preserve">Conclusion of Error Analysis:</w:t>
      </w:r>
      <w:r>
        <w:t xml:space="preserve"> </w:t>
      </w:r>
      <w:r>
        <w:t xml:space="preserve">Qualitative review reveals that the AI mimics human uncertainty in ambiguous tissue boundaries (Partial Volume Effect), making it a conservative and safe clinical assistant.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mplementation-roadmap-with-sjri"/>
    <w:p>
      <w:pPr>
        <w:pStyle w:val="Heading2"/>
      </w:pPr>
      <w:r>
        <w:t xml:space="preserve">6. Implementation Roadmap with SJRI</w:t>
      </w:r>
    </w:p>
    <w:p>
      <w:pPr>
        <w:pStyle w:val="FirstParagraph"/>
      </w:pPr>
      <w:r>
        <w:t xml:space="preserve">We propose a collaborative framework to move this research into the clinic: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Multi-Center Validation:</w:t>
      </w:r>
      <w:r>
        <w:t xml:space="preserve"> </w:t>
      </w:r>
      <w:r>
        <w:t xml:space="preserve">Utilizing SJRI’s data to implement domain adaptation, ensuring</w:t>
      </w:r>
      <w:r>
        <w:t xml:space="preserve"> </w:t>
      </w:r>
      <w:r>
        <w:t xml:space="preserve">“</w:t>
      </w:r>
      <w:r>
        <w:t xml:space="preserve">plug-and-play</w:t>
      </w:r>
      <w:r>
        <w:t xml:space="preserve">”</w:t>
      </w:r>
      <w:r>
        <w:t xml:space="preserve"> </w:t>
      </w:r>
      <w:r>
        <w:t xml:space="preserve">reliability across GE, Siemens, and Philips scanners.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Longitudinal Module:</w:t>
      </w:r>
      <w:r>
        <w:t xml:space="preserve"> </w:t>
      </w:r>
      <w:r>
        <w:t xml:space="preserve">Expanding the current system to automatically detect</w:t>
      </w:r>
      <w:r>
        <w:t xml:space="preserve"> </w:t>
      </w:r>
      <w:r>
        <w:t xml:space="preserve">“</w:t>
      </w:r>
      <w:r>
        <w:t xml:space="preserve">New Lesions</w:t>
      </w:r>
      <w:r>
        <w:t xml:space="preserve">”</w:t>
      </w:r>
      <w:r>
        <w:t xml:space="preserve"> </w:t>
      </w:r>
      <w:r>
        <w:t xml:space="preserve">between baseline and follow-up scans.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PACS Integration:</w:t>
      </w:r>
      <w:r>
        <w:t xml:space="preserve"> </w:t>
      </w:r>
      <w:r>
        <w:t xml:space="preserve">Deploying a lightweight viewer that flags high-risk slices for radiologist priority, reducing time-to-diagnosis.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By evolving from a simple 2D U-Net to a 2.5D UNet++ ensemble, we have addressed the core challenges of MS imaging: sensitivity, periventricular noise, and scanner variability. We believe this system represents a significant step forward in automated MS quantification for St. John’s Research Institute.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Pallab Sarangi &amp; Shreyas Baloni</w:t>
      </w:r>
      <w:r>
        <w:t xml:space="preserve"> </w:t>
      </w:r>
      <w:r>
        <w:rPr>
          <w:iCs/>
          <w:i/>
        </w:rPr>
        <w:t xml:space="preserve">RNS Institute of Technology, Bengaluru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2026-03-23T09:40:17Z</dcterms:created>
  <dcterms:modified xsi:type="dcterms:W3CDTF">2026-03-23T09:40:17Z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