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Como foi criada a base do frontend GreenER</w:t>
      </w:r>
    </w:p>
    <w:p>
      <w:pPr/>
      <w:r>
        <w:t>Task: #25 — parte de Rainan Reis Data: 06/10/2026 Branch: feat/25-frontend-base Base: develop, atualizada no commit fd7b19f</w:t>
      </w:r>
    </w:p>
    <w:p>
      <w:pPr/>
      <w:r>
        <w:t>Este documento explica a implementação para quem está começando com frontend. A entrega prepara o projeto para o time desenvolver as telas. A #25 inteira ainda depende da parte da Nadla e das validações de integração.</w:t>
      </w:r>
    </w:p>
    <w:p>
      <w:pPr>
        <w:pStyle w:val="Heading1"/>
      </w:pPr>
      <w:r>
        <w:t>1. O que cada tecnologia faz</w:t>
      </w:r>
    </w:p>
    <w:p>
      <w:pPr/>
      <w:r>
        <w:t>React organiza a interface em componentes. Um componente é uma função que descreve uma parte da tela usando JSX, uma sintaxe parecida com HTML. Arquivos React com TypeScript e JSX usam a extensão .tsx.</w:t>
      </w:r>
    </w:p>
    <w:p>
      <w:pPr/>
      <w:r>
        <w:t>TypeScript verifica os tipos enquanto desenvolvemos e no build. Ele ajuda a detectar, por exemplo, quando uma função espera um número e recebe um texto. O navegador executa o JavaScript gerado pelas ferramentas.</w:t>
      </w:r>
    </w:p>
    <w:p>
      <w:pPr/>
      <w:r>
        <w:t>Vite executa o servidor de desenvolvimento e prepara os arquivos finais. Ao salvar uma alteração, a interface pode ser atualizada sem reiniciar o servidor.</w:t>
      </w:r>
    </w:p>
    <w:p>
      <w:pPr/>
      <w:r>
        <w:t>Node.js permite executar essas ferramentas no computador. npm instala dependências e executa os comandos registrados no projeto. Padronizamos Node 24.x e npm 11.x, compatíveis com as ferramentas instaladas.</w:t>
      </w:r>
    </w:p>
    <w:p>
      <w:pPr/>
      <w:r>
        <w:t>O React Router foi instalado para a Nadla configurar a navegação. Ter a dependência instalada não significa que as rotas já estejam implementadas.</w:t>
      </w:r>
    </w:p>
    <w:p>
      <w:pPr>
        <w:pStyle w:val="Heading1"/>
      </w:pPr>
      <w:r>
        <w:t>2. Preparação com Git</w:t>
      </w:r>
    </w:p>
    <w:p>
      <w:pPr/>
      <w:r>
        <w:t>Primeiro, conferi a pasta, a versão do Git, a branch, o estado dos arquivos e o endereço remoto. A cópia estava na main, sem alterações locais.</w:t>
      </w:r>
    </w:p>
    <w:p>
      <w:pPr/>
      <w:r>
        <w:t>Comandos de conferência utilizados durante o trabalho:</w:t>
      </w:r>
    </w:p>
    <w:p>
      <w:pPr>
        <w:pStyle w:val="Comandos"/>
      </w:pPr>
      <w:r>
        <w:t>git --version</w:t>
        <w:br/>
        <w:t>git status --short --branch</w:t>
        <w:br/>
        <w:t>git remote -v</w:t>
        <w:br/>
        <w:t>git branch --list</w:t>
      </w:r>
    </w:p>
    <w:p>
      <w:pPr/>
      <w:r>
        <w:t>Depois executei, nessa ordem:</w:t>
      </w:r>
    </w:p>
    <w:p>
      <w:pPr>
        <w:pStyle w:val="Comandos"/>
      </w:pPr>
      <w:r>
        <w:t>git switch develop</w:t>
        <w:br/>
        <w:t>git pull --ff-only origin develop</w:t>
        <w:br/>
        <w:t>git switch -c feat/25-frontend-base</w:t>
      </w:r>
    </w:p>
    <w:p>
      <w:pPr/>
      <w:r>
        <w:t>git switch develop: mudou para a branch de integração do time. Como não existia uma develop local, o Git criou essa branch acompanhando a develop do origin.</w:t>
      </w:r>
    </w:p>
    <w:p>
      <w:pPr/>
      <w:r>
        <w:t>git pull --ff-only origin develop: trouxe as alterações remotas. A opção --ff-only aceita somente uma atualização direta do histórico; se houver divergência, o comando interrompe em vez de criar um merge automaticamente. A atualização foi concluída até fd7b19f.</w:t>
      </w:r>
    </w:p>
    <w:p>
      <w:pPr/>
      <w:r>
        <w:t>git switch -c feat/25-frontend-base: criou e entrou na branch desta implementação. A develop não recebeu os novos arquivos diretamente.</w:t>
      </w:r>
    </w:p>
    <w:p>
      <w:pPr/>
      <w:r>
        <w:t>Seguimos develop porque o trabalho atual do backend foi integrado nela. O guia Git e a DoD antigos ainda citam main como origem/destino; esse acordo precisa ser atualizado com o time antes de considerar a entrega encerrada no fluxo oficial.</w:t>
      </w:r>
    </w:p>
    <w:p>
      <w:pPr/>
      <w:r>
        <w:t>No fechamento local, também usei:</w:t>
      </w:r>
    </w:p>
    <w:p>
      <w:pPr>
        <w:pStyle w:val="Comandos"/>
      </w:pPr>
      <w:r>
        <w:t>git diff --check</w:t>
        <w:br/>
        <w:t>git diff --stat</w:t>
        <w:br/>
        <w:t>git diff --name-only</w:t>
        <w:br/>
        <w:t>git status --short --branch</w:t>
      </w:r>
    </w:p>
    <w:p>
      <w:pPr/>
      <w:r>
        <w:t>Esses comandos ajudam a revisar espaços, arquivos e tamanho das alterações. Arquivos novos aparecem no status, mas só entram no diff comum depois que forem adicionados ao Git.</w:t>
      </w:r>
    </w:p>
    <w:p>
      <w:pPr/>
      <w:r>
        <w:t>Não executei git add, git commit, git push nem merge. As alterações ficaram locais, na branch da task, para revisão.</w:t>
      </w:r>
    </w:p>
    <w:p>
      <w:pPr>
        <w:pStyle w:val="Heading1"/>
      </w:pPr>
      <w:r>
        <w:t>3. Criação do projeto</w:t>
      </w:r>
    </w:p>
    <w:p>
      <w:pPr/>
      <w:r>
        <w:t>Na raiz do repositório, executei:</w:t>
      </w:r>
    </w:p>
    <w:p>
      <w:pPr>
        <w:pStyle w:val="Comandos"/>
      </w:pPr>
      <w:r>
        <w:t>npm.cmd create --yes vite@latest frontend -- --template react-ts --no-interactive</w:t>
      </w:r>
    </w:p>
    <w:p>
      <w:pPr/>
      <w:r>
        <w:t>O comando usou o template oficial React + TypeScript e criou a pasta frontend. O parâmetro --no-interactive evita perguntas do gerador; o template escolhido já informa quais tecnologias serão usadas.</w:t>
      </w:r>
    </w:p>
    <w:p>
      <w:pPr/>
      <w:r>
        <w:t>Neste Windows, o PowerShell bloqueia npm.ps1 pela política de execução. Por isso usei npm.cmd, que executa o npm sem mudar essa política. Não foi necessário alterar a configuração de segurança do computador.</w:t>
      </w:r>
    </w:p>
    <w:p>
      <w:pPr/>
      <w:r>
        <w:t>O template atual trazia Oxlint. A issue pede ESLint + Prettier, então substituí a configuração de lint. Também retirei logos, contador e arquivos demonstrativos gerados pelo template, deixando uma tela inicial simples com a identificação do GreenER.</w:t>
      </w:r>
    </w:p>
    <w:p>
      <w:pPr>
        <w:pStyle w:val="Heading1"/>
      </w:pPr>
      <w:r>
        <w:t>4. Dependências e scripts</w:t>
      </w:r>
    </w:p>
    <w:p>
      <w:pPr/>
      <w:r>
        <w:t>Dentro de frontend, instalei React Router e as ferramentas de qualidade. A instalação inicial do ESLint 9 informou que seu suporte havia terminado; atualizei ESLint e @eslint/js para a versão atual antes de validar a entrega.</w:t>
      </w:r>
    </w:p>
    <w:p>
      <w:pPr>
        <w:pStyle w:val="Comandos"/>
      </w:pPr>
      <w:r>
        <w:t>npm.cmd install react-router</w:t>
        <w:br/>
        <w:t>npm.cmd install --save-dev eslint@9 @eslint/js@9 typescript-eslint globals eslint-plugin-react-hooks eslint-plugin-react-refresh eslint-config-prettier prettier</w:t>
        <w:br/>
        <w:t>npm.cmd install --save-dev eslint@latest @eslint/js@latest</w:t>
      </w:r>
    </w:p>
    <w:p>
      <w:pPr/>
      <w:r>
        <w:t>O package.json final declara React 19, React Router 8, Vite 8, TypeScript 6, ESLint 10 e Prettier 3. O package-lock.json registra as versões efetivamente resolvidas, incluindo as dependências indiretas.</w:t>
      </w:r>
    </w:p>
    <w:p>
      <w:pPr/>
      <w:r>
        <w:t>dependencies contém bibliotecas utilizadas pela aplicação. devDependencies contém ferramentas para desenvolver, verificar e gerar o build. O Vite inclui no build os módulos necessários para a aplicação, não simplesmente toda a pasta node_modules.</w:t>
      </w:r>
    </w:p>
    <w:p>
      <w:pPr/>
      <w:r>
        <w:t>Para outros integrantes instalarem a mesma resolução de dependências, o comando recomendado é npm.cmd ci. Não precisam repetir os comandos de criação ou de instalação individual das ferramentas.</w:t>
      </w:r>
    </w:p>
    <w:p>
      <w:pPr/>
      <w:r>
        <w:t>Os scripts disponíveis são: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/>
            <w:r>
              <w:t>Script</w:t>
            </w:r>
          </w:p>
        </w:tc>
        <w:tc>
          <w:tcPr>
            <w:tcW w:type="dxa" w:w="4819"/>
          </w:tcPr>
          <w:p>
            <w:pPr/>
            <w:r>
              <w:t>O que faz</w:t>
            </w:r>
          </w:p>
        </w:tc>
      </w:tr>
      <w:tr>
        <w:tc>
          <w:tcPr>
            <w:tcW w:type="dxa" w:w="4819"/>
          </w:tcPr>
          <w:p>
            <w:pPr/>
            <w:r>
              <w:t>dev</w:t>
            </w:r>
          </w:p>
        </w:tc>
        <w:tc>
          <w:tcPr>
            <w:tcW w:type="dxa" w:w="4819"/>
          </w:tcPr>
          <w:p>
            <w:pPr/>
            <w:r>
              <w:t>Inicia o Vite em localhost:5173</w:t>
            </w:r>
          </w:p>
        </w:tc>
      </w:tr>
      <w:tr>
        <w:tc>
          <w:tcPr>
            <w:tcW w:type="dxa" w:w="4819"/>
          </w:tcPr>
          <w:p>
            <w:pPr/>
            <w:r>
              <w:t>build</w:t>
            </w:r>
          </w:p>
        </w:tc>
        <w:tc>
          <w:tcPr>
            <w:tcW w:type="dxa" w:w="4819"/>
          </w:tcPr>
          <w:p>
            <w:pPr/>
            <w:r>
              <w:t>Executa tsc -b e depois vite build</w:t>
            </w:r>
          </w:p>
        </w:tc>
      </w:tr>
      <w:tr>
        <w:tc>
          <w:tcPr>
            <w:tcW w:type="dxa" w:w="4819"/>
          </w:tcPr>
          <w:p>
            <w:pPr/>
            <w:r>
              <w:t>preview</w:t>
            </w:r>
          </w:p>
        </w:tc>
        <w:tc>
          <w:tcPr>
            <w:tcW w:type="dxa" w:w="4819"/>
          </w:tcPr>
          <w:p>
            <w:pPr/>
            <w:r>
              <w:t>Serve o build em localhost:417</w:t>
            </w:r>
            <w:r>
              <w:t>3</w:t>
            </w:r>
          </w:p>
        </w:tc>
      </w:tr>
      <w:tr>
        <w:tc>
          <w:tcPr>
            <w:tcW w:type="dxa" w:w="4819"/>
          </w:tcPr>
          <w:p>
            <w:pPr/>
            <w:r>
              <w:t>lint</w:t>
            </w:r>
          </w:p>
        </w:tc>
        <w:tc>
          <w:tcPr>
            <w:tcW w:type="dxa" w:w="4819"/>
          </w:tcPr>
          <w:p>
            <w:pPr/>
            <w:r>
              <w:t>Verifica código com ESLint e rejeita avisos</w:t>
            </w:r>
          </w:p>
        </w:tc>
      </w:tr>
      <w:tr>
        <w:tc>
          <w:tcPr>
            <w:tcW w:type="dxa" w:w="4819"/>
          </w:tcPr>
          <w:p>
            <w:pPr/>
            <w:r>
              <w:t>format</w:t>
            </w:r>
          </w:p>
        </w:tc>
        <w:tc>
          <w:tcPr>
            <w:tcW w:type="dxa" w:w="4819"/>
          </w:tcPr>
          <w:p>
            <w:pPr/>
            <w:r>
              <w:t>Aplica Prettier</w:t>
            </w:r>
          </w:p>
        </w:tc>
      </w:tr>
      <w:tr>
        <w:tc>
          <w:tcPr>
            <w:tcW w:type="dxa" w:w="4819"/>
          </w:tcPr>
          <w:p>
            <w:pPr/>
            <w:r>
              <w:t>format:check</w:t>
            </w:r>
          </w:p>
        </w:tc>
        <w:tc>
          <w:tcPr>
            <w:tcW w:type="dxa" w:w="4819"/>
          </w:tcPr>
          <w:p>
            <w:pPr/>
            <w:r>
              <w:t>Verifica Prettier sem editar arquivos</w:t>
            </w:r>
          </w:p>
        </w:tc>
      </w:tr>
      <w:tr>
        <w:tc>
          <w:tcPr>
            <w:tcW w:type="dxa" w:w="4819"/>
          </w:tcPr>
          <w:p>
            <w:pPr/>
            <w:r>
              <w:t>test</w:t>
            </w:r>
          </w:p>
        </w:tc>
        <w:tc>
          <w:tcPr>
            <w:tcW w:type="dxa" w:w="4819"/>
          </w:tcPr>
          <w:p>
            <w:pPr/>
            <w:r>
              <w:t>Executa os testes do serviço HTTP com o Node</w:t>
            </w:r>
          </w:p>
        </w:tc>
      </w:tr>
    </w:tbl>
    <w:p>
      <w:pPr>
        <w:pStyle w:val="Heading1"/>
      </w:pPr>
      <w:r>
        <w:t>5. Estrutura de arquivos e como a tela abre</w:t>
      </w:r>
    </w:p>
    <w:p>
      <w:pPr>
        <w:pStyle w:val="Comandos"/>
      </w:pPr>
      <w:r>
        <w:t>frontend/</w:t>
        <w:br/>
        <w:t xml:space="preserve">  public/</w:t>
        <w:br/>
        <w:t xml:space="preserve">  src/</w:t>
        <w:br/>
        <w:t xml:space="preserve">    assets/</w:t>
        <w:br/>
        <w:t xml:space="preserve">    components/       # Continuação da Nadla</w:t>
        <w:br/>
        <w:t xml:space="preserve">    hooks/            # Continuação da Nadla</w:t>
        <w:br/>
        <w:t xml:space="preserve">    pages/            # Continuação da Nadla</w:t>
        <w:br/>
        <w:t xml:space="preserve">    services/</w:t>
        <w:br/>
        <w:t xml:space="preserve">      api.ts</w:t>
        <w:br/>
        <w:t xml:space="preserve">    App.tsx</w:t>
        <w:br/>
        <w:t xml:space="preserve">    index.css</w:t>
        <w:br/>
        <w:t xml:space="preserve">    main.tsx</w:t>
        <w:br/>
        <w:t xml:space="preserve">  tests/</w:t>
        <w:br/>
        <w:t xml:space="preserve">    api.test.mjs</w:t>
        <w:br/>
        <w:t xml:space="preserve">  .env.example</w:t>
        <w:br/>
        <w:t xml:space="preserve">  .gitignore</w:t>
        <w:br/>
        <w:t xml:space="preserve">  .node-version</w:t>
        <w:br/>
        <w:t xml:space="preserve">  .prettierignore</w:t>
        <w:br/>
        <w:t xml:space="preserve">  .prettierrc.json</w:t>
        <w:br/>
        <w:t xml:space="preserve">  eslint.config.js</w:t>
        <w:br/>
        <w:t xml:space="preserve">  index.html</w:t>
        <w:br/>
        <w:t xml:space="preserve">  package.json</w:t>
        <w:br/>
        <w:t xml:space="preserve">  package-lock.json</w:t>
        <w:br/>
        <w:t xml:space="preserve">  tsconfig.json</w:t>
        <w:br/>
        <w:t xml:space="preserve">  tsconfig.app.json</w:t>
        <w:br/>
        <w:t xml:space="preserve">  tsconfig.node.json</w:t>
        <w:br/>
        <w:t xml:space="preserve">  vite.config.ts</w:t>
        <w:br/>
        <w:t xml:space="preserve">  README.md</w:t>
      </w:r>
    </w:p>
    <w:p>
      <w:pPr/>
      <w:r>
        <w:t>O navegador recebe index.html. Esse arquivo tem o elemento div com id root e referencia src/main.tsx. O main encontra esse elemento, cria a raiz React e renderiza App. Se o elemento de entrada não existir, há um erro explícito em vez de uma falha silenciosa.</w:t>
      </w:r>
    </w:p>
    <w:p>
      <w:pPr/>
      <w:r>
        <w:t>App.tsx contém apenas a tela inicial. index.css fornece uma base pequena de estilos. A tela não faz chamadas automáticas a endpoints que ainda não existem.</w:t>
      </w:r>
    </w:p>
    <w:p>
      <w:pPr/>
      <w:r>
        <w:t>StrictMode, usado na inicialização, ativa verificações adicionais do React em desenvolvimento. A Nadla deverá considerar que alguns comportamentos de desenvolvimento podem ser executados novamente para revelar problemas.</w:t>
      </w:r>
    </w:p>
    <w:p>
      <w:pPr/>
      <w:r>
        <w:t>O TypeScript foi configurado explicitamente com strict e noImplicitAny. As configurações também verificam variáveis não usadas e evitam geração duplicada de JavaScript: o TypeScript verifica e o Vite faz o build.</w:t>
      </w:r>
    </w:p>
    <w:p>
      <w:pPr/>
      <w:r>
        <w:t>Pastas que ainda não têm implementação usam um arquivo vazio .gitkeep. Esse nome é uma convenção; o Git versiona arquivos, não pastas vazias. Nadla pode remover esses marcadores quando criar os componentes reais.</w:t>
      </w:r>
    </w:p>
    <w:p>
      <w:pPr>
        <w:pStyle w:val="Heading1"/>
      </w:pPr>
      <w:r>
        <w:t>6. ESLint e Prettier: por que usar os dois</w:t>
      </w:r>
    </w:p>
    <w:p>
      <w:pPr/>
      <w:r>
        <w:t>ESLint identifica problemas no código, como variáveis não usadas, uso inadequado de hooks e alguns padrões problemáticos em componentes. A configuração usa o formato atual de arquivo eslint.config.js e aplica os ambientes corretos: navegador para src, Node para configuração e testes.</w:t>
      </w:r>
    </w:p>
    <w:p>
      <w:pPr/>
      <w:r>
        <w:t>Prettier padroniza a aparência: indentação, aspas, ponto e vírgula e quebras de linha. Adotei aspas simples, ponto e vírgula e finais de linha LF. Isso reduz diferenças de formatação entre computadores.</w:t>
      </w:r>
    </w:p>
    <w:p>
      <w:pPr/>
      <w:r>
        <w:t>eslint-config-prettier desativa regras de formatação do ESLint que poderiam conflitar com o Prettier. Assim, cada ferramenta tem uma função clara. Lint e format:check verificam sem alterar; format modifica os arquivos.</w:t>
      </w:r>
    </w:p>
    <w:p>
      <w:pPr/>
      <w:r>
        <w:t>node_modules, dist, arquivos locais de ambiente e outros artefatos gerados ficam ignorados. O .env.example é versionado porque documenta a configuração sem carregar credenciais reais.</w:t>
      </w:r>
    </w:p>
    <w:p>
      <w:pPr>
        <w:pStyle w:val="Heading1"/>
      </w:pPr>
      <w:r>
        <w:t>7. Serviço HTTP: preparação para as funcionalidades</w:t>
      </w:r>
    </w:p>
    <w:p>
      <w:pPr/>
      <w:r>
        <w:t>src/services/api.ts concentra as requisições JSON ao backend. As páginas poderão usar apiRequest em vez de repetir fetch em cada tela.</w:t>
      </w:r>
    </w:p>
    <w:p>
      <w:pPr/>
      <w:r>
        <w:t>Exemplo didático para quando o endpoint de serviços estiver disponível:</w:t>
      </w:r>
    </w:p>
    <w:p>
      <w:pPr>
        <w:pStyle w:val="Comandos"/>
      </w:pPr>
      <w:r>
        <w:t>import { apiRequest } from './services/api';</w:t>
        <w:br/>
        <w:br/>
        <w:t>const dados = await apiRequest('/services');</w:t>
      </w:r>
    </w:p>
    <w:p>
      <w:pPr/>
      <w:r>
        <w:t>O serviço acrescenta /api, informa Accept: application/json por padrão, preserva headers e demais opções recebidas, verifica o status HTTP e converte a resposta JSON. Para HTTP 204 ou 205, retorna undefined porque essas respostas não devem ter um corpo para converter.</w:t>
      </w:r>
    </w:p>
    <w:p>
      <w:pPr/>
      <w:r>
        <w:t>Um HTTP 404 ou 500 gera ApiError, que guarda o status e uma mensagem genérica. O corpo de uma resposta de erro não é exposto automaticamente ao usuário. Falhas de conexão, cancelamento e JSON inválido continuam sendo erros; a tela deverá tratá-los e apresentar o feedback adequado.</w:t>
      </w:r>
    </w:p>
    <w:p>
      <w:pPr/>
      <w:r>
        <w:t>Para enviar JSON, o chamador informa Content-Type: application/json e usa JSON.stringify no corpo. O serviço também aceita AbortSignal para cancelar requisições.</w:t>
      </w:r>
    </w:p>
    <w:p>
      <w:pPr/>
      <w:r>
        <w:t>apiRequest&lt;T&gt; permite descrever um payload conhecido usando TypeScript. Esse tipo é uma expectativa do código: não valida o formato recebido em execução. Os DTOs definitivos devem seguir o contrato real do backend.</w:t>
      </w:r>
    </w:p>
    <w:p>
      <w:pPr/>
      <w:r>
        <w:t>Não foram adicionados gerenciamento de JWT, polling, cache de métricas ou chamadas às APIs externas. Essas funcionalidades têm suas próprias issues. O frontend fala com NestJS; acesso ao PostgreSQL e às APIs de coleta permanece no backend.</w:t>
      </w:r>
    </w:p>
    <w:p>
      <w:pPr>
        <w:pStyle w:val="Heading1"/>
      </w:pPr>
      <w:r>
        <w:t>8. Proxy e variáveis de ambiente</w:t>
      </w:r>
    </w:p>
    <w:p>
      <w:pPr/>
      <w:r>
        <w:t>Em desenvolvimento, frontend e backend usam portas diferentes. O proxy permite ao navegador chamar /api no endereço do próprio frontend, enquanto o processo Vite encaminha a chamada ao backend.</w:t>
      </w:r>
    </w:p>
    <w:p>
      <w:pPr/>
      <w:r>
        <w:t>O fluxo padrão é:</w:t>
      </w:r>
    </w:p>
    <w:p>
      <w:pPr>
        <w:pStyle w:val="Comandos"/>
      </w:pPr>
      <w:r>
        <w:t>Navegador: localhost:5173/api/services</w:t>
        <w:br/>
        <w:t xml:space="preserve">    -&gt; proxy do Vite</w:t>
        <w:br/>
        <w:t>Backend: localhost:3000/services</w:t>
      </w:r>
    </w:p>
    <w:p>
      <w:pPr/>
      <w:r>
        <w:t>O backend atual ainda não configura um prefixo global /api. Por isso, API_PROXY_REWRITE=true remove esse prefixo. Quando Israel configurar endpoints com /api, use false e reinicie o Vite:</w:t>
      </w:r>
    </w:p>
    <w:p>
      <w:pPr>
        <w:pStyle w:val="Comandos"/>
      </w:pPr>
      <w:r>
        <w:t>API_PROXY_TARGET=http://localhost:3000</w:t>
        <w:br/>
        <w:t>API_PROXY_REWRITE=false</w:t>
      </w:r>
    </w:p>
    <w:p>
      <w:pPr/>
      <w:r>
        <w:t>A configuração usa valores padrão e funciona sem .env. Para personalizar, dentro de frontend:</w:t>
      </w:r>
    </w:p>
    <w:p>
      <w:pPr>
        <w:pStyle w:val="Comandos"/>
      </w:pPr>
      <w:r>
        <w:t>Copy-Item .env.example .env</w:t>
      </w:r>
    </w:p>
    <w:p>
      <w:pPr/>
      <w:r>
        <w:t>As variáveis API_ são lidas por loadEnv na configuração do Vite. Não são variáveis VITE_ para exposição ao código do navegador. Senhas, tokens de serviços e JWT_SECRET pertencem ao backend.</w:t>
      </w:r>
    </w:p>
    <w:p>
      <w:pPr/>
      <w:r>
        <w:t>A porta 5173 é fixa: strictPort=true faz o comando falhar se ela já estiver ocupada, evitando que o endereço mude silenciosamente. Preview usa 4173 e também rejeita porta ocupada.</w:t>
      </w:r>
    </w:p>
    <w:p>
      <w:pPr/>
      <w:r>
        <w:t>Em Docker, localhost é o próprio container. A #22 deverá configurar o destino com o nome real do serviço, por exemplo http://backend:3000, e iniciar Vite com --host 0.0.0.0 para acesso através da porta publicada. Não foi alterado o Compose; ele atualmente contém somente PostgreSQL.</w:t>
      </w:r>
    </w:p>
    <w:p>
      <w:pPr/>
      <w:r>
        <w:t>O preview também herda o proxy do servidor de desenvolvimento. Isso ajuda a conferir o build localmente, mas não configura a publicação: o ambiente publicado precisará encaminhar /api ou ter outra configuração de API acordada com o backend.</w:t>
      </w:r>
    </w:p>
    <w:p>
      <w:pPr>
        <w:pStyle w:val="Heading1"/>
      </w:pPr>
      <w:r>
        <w:t>9. Como executar e verificar no seu computador</w:t>
      </w:r>
    </w:p>
    <w:p>
      <w:pPr/>
      <w:r>
        <w:t>A partir da raiz do projeto:</w:t>
      </w:r>
    </w:p>
    <w:p>
      <w:pPr>
        <w:pStyle w:val="Comandos"/>
      </w:pPr>
      <w:r>
        <w:t>cd frontend</w:t>
        <w:br/>
        <w:t>npm.cmd ci</w:t>
        <w:br/>
        <w:t>npm.cmd run dev</w:t>
      </w:r>
    </w:p>
    <w:p>
      <w:pPr/>
      <w:r>
        <w:t>Abra http://localhost:5173. Use Ctrl+C no terminal para encerrar o servidor.</w:t>
      </w:r>
    </w:p>
    <w:p>
      <w:pPr/>
      <w:r>
        <w:t>Para conferir a entrega:</w:t>
      </w:r>
    </w:p>
    <w:p>
      <w:pPr>
        <w:pStyle w:val="Comandos"/>
      </w:pPr>
      <w:r>
        <w:t>npm.cmd run lint</w:t>
        <w:br/>
        <w:t>npm.cmd run format:check</w:t>
        <w:br/>
        <w:t>npm.cmd test</w:t>
        <w:br/>
        <w:t>npm.cmd run build</w:t>
        <w:br/>
        <w:t>npm.cmd run preview</w:t>
      </w:r>
    </w:p>
    <w:p>
      <w:pPr/>
      <w:r>
        <w:t>O último comando mantém o servidor aberto em http://localhost:4173. Use Ctrl+C para encerrá-lo. dist é o resultado do build e não deve ser editado manualmente nem enviado ao Git.</w:t>
      </w:r>
    </w:p>
    <w:p>
      <w:pPr/>
      <w:r>
        <w:t>Se a porta estiver ocupada, encerre o servidor antigo que você iniciou. Se uma chamada à API falhar, confirme se o backend está executando, qual é seu endereço e se ele usa /api. Essa falha não impede a tela inicial de abrir.</w:t>
      </w:r>
    </w:p>
    <w:p>
      <w:pPr/>
      <w:r>
        <w:t>O backend atual possui GET /, que retorna texto. Quando ele puder ser iniciado, http://localhost:5173/api/ pode ajudar a conferir o encaminhamento com a configuração padrão. Não use apiRequest nessa rota de texto: o helper foi preparado para respostas JSON.</w:t>
      </w:r>
    </w:p>
    <w:p>
      <w:pPr>
        <w:pStyle w:val="Heading1"/>
      </w:pPr>
      <w:r>
        <w:t>10. O que foi validado e o que ainda falta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/>
            <w:r>
              <w:t>Verificação</w:t>
            </w:r>
          </w:p>
        </w:tc>
        <w:tc>
          <w:tcPr>
            <w:tcW w:type="dxa" w:w="4819"/>
          </w:tcPr>
          <w:p>
            <w:pPr/>
            <w:r>
              <w:t>Resultado</w:t>
            </w:r>
          </w:p>
        </w:tc>
      </w:tr>
      <w:tr>
        <w:tc>
          <w:tcPr>
            <w:tcW w:type="dxa" w:w="4819"/>
          </w:tcPr>
          <w:p>
            <w:pPr/>
            <w:r>
              <w:t>Instalação limpa com npm ci</w:t>
            </w:r>
          </w:p>
        </w:tc>
        <w:tc>
          <w:tcPr>
            <w:tcW w:type="dxa" w:w="4819"/>
          </w:tcPr>
          <w:p>
            <w:pPr/>
            <w:r>
              <w:t>Passou; dependências reproduzidas pelo lockfile</w:t>
            </w:r>
          </w:p>
        </w:tc>
      </w:tr>
      <w:tr>
        <w:tc>
          <w:tcPr>
            <w:tcW w:type="dxa" w:w="4819"/>
          </w:tcPr>
          <w:p>
            <w:pPr/>
            <w:r>
              <w:t>F</w:t>
            </w:r>
            <w:r>
              <w:t>ormatação Prettier</w:t>
            </w:r>
          </w:p>
        </w:tc>
        <w:tc>
          <w:tcPr>
            <w:tcW w:type="dxa" w:w="4819"/>
          </w:tcPr>
          <w:p>
            <w:pPr/>
            <w:r>
              <w:t>Passou no format:check</w:t>
            </w:r>
          </w:p>
        </w:tc>
      </w:tr>
      <w:tr>
        <w:tc>
          <w:tcPr>
            <w:tcW w:type="dxa" w:w="4819"/>
          </w:tcPr>
          <w:p>
            <w:pPr/>
            <w:r>
              <w:t>Lint</w:t>
            </w:r>
          </w:p>
        </w:tc>
        <w:tc>
          <w:tcPr>
            <w:tcW w:type="dxa" w:w="4819"/>
          </w:tcPr>
          <w:p>
            <w:pPr/>
            <w:r>
              <w:t>Passou sem erros ou avisos</w:t>
            </w:r>
          </w:p>
        </w:tc>
      </w:tr>
      <w:tr>
        <w:tc>
          <w:tcPr>
            <w:tcW w:type="dxa" w:w="4819"/>
          </w:tcPr>
          <w:p>
            <w:pPr/>
            <w:r>
              <w:t>Testes unitários do serviço HTTP</w:t>
            </w:r>
          </w:p>
        </w:tc>
        <w:tc>
          <w:tcPr>
            <w:tcW w:type="dxa" w:w="4819"/>
          </w:tcPr>
          <w:p>
            <w:pPr/>
            <w:r>
              <w:t>7 passaram</w:t>
            </w:r>
          </w:p>
        </w:tc>
      </w:tr>
      <w:tr>
        <w:tc>
          <w:tcPr>
            <w:tcW w:type="dxa" w:w="4819"/>
          </w:tcPr>
          <w:p>
            <w:pPr/>
            <w:r>
              <w:t>Build TypeScript + Vite</w:t>
            </w:r>
          </w:p>
        </w:tc>
        <w:tc>
          <w:tcPr>
            <w:tcW w:type="dxa" w:w="4819"/>
          </w:tcPr>
          <w:p>
            <w:pPr/>
            <w:r>
              <w:t>Passou</w:t>
            </w:r>
          </w:p>
        </w:tc>
      </w:tr>
      <w:tr>
        <w:tc>
          <w:tcPr>
            <w:tcW w:type="dxa" w:w="4819"/>
          </w:tcPr>
          <w:p>
            <w:pPr/>
            <w:r>
              <w:t>Desenvolvimento</w:t>
            </w:r>
          </w:p>
        </w:tc>
        <w:tc>
          <w:tcPr>
            <w:tcW w:type="dxa" w:w="4819"/>
          </w:tcPr>
          <w:p>
            <w:pPr/>
            <w:r>
              <w:t>HTML e módulo React servidos por HTTP</w:t>
            </w:r>
          </w:p>
        </w:tc>
      </w:tr>
      <w:tr>
        <w:tc>
          <w:tcPr>
            <w:tcW w:type="dxa" w:w="4819"/>
          </w:tcPr>
          <w:p>
            <w:pPr/>
            <w:r>
              <w:t>Componente inicial</w:t>
            </w:r>
          </w:p>
        </w:tc>
        <w:tc>
          <w:tcPr>
            <w:tcW w:type="dxa" w:w="4819"/>
          </w:tcPr>
          <w:p>
            <w:pPr/>
            <w:r>
              <w:t>Renderização programática com main e título GreenER</w:t>
            </w:r>
          </w:p>
        </w:tc>
      </w:tr>
      <w:tr>
        <w:tc>
          <w:tcPr>
            <w:tcW w:type="dxa" w:w="4819"/>
          </w:tcPr>
          <w:p>
            <w:pPr/>
            <w:r>
              <w:t>Preview</w:t>
            </w:r>
          </w:p>
        </w:tc>
        <w:tc>
          <w:tcPr>
            <w:tcW w:type="dxa" w:w="4819"/>
          </w:tcPr>
          <w:p>
            <w:pPr/>
            <w:r>
              <w:t>HTML e JavaScript do build servidos por HTTP</w:t>
            </w:r>
          </w:p>
        </w:tc>
      </w:tr>
      <w:tr>
        <w:tc>
          <w:tcPr>
            <w:tcW w:type="dxa" w:w="4819"/>
          </w:tcPr>
          <w:p>
            <w:pPr/>
            <w:r>
              <w:t>Proxy</w:t>
            </w:r>
          </w:p>
        </w:tc>
        <w:tc>
          <w:tcPr>
            <w:tcW w:type="dxa" w:w="4819"/>
          </w:tcPr>
          <w:p>
            <w:pPr/>
            <w:r>
              <w:t>Sucesso, query string e erro HTTP verificados</w:t>
            </w:r>
          </w:p>
        </w:tc>
      </w:tr>
      <w:tr>
        <w:tc>
          <w:tcPr>
            <w:tcW w:type="dxa" w:w="4819"/>
          </w:tcPr>
          <w:p>
            <w:pPr/>
            <w:r>
              <w:t>Mudança de prefixo</w:t>
            </w:r>
          </w:p>
        </w:tc>
        <w:tc>
          <w:tcPr>
            <w:tcW w:type="dxa" w:w="4819"/>
          </w:tcPr>
          <w:p>
            <w:pPr/>
            <w:r>
              <w:t>Remoção e preservação de /api verificadas</w:t>
            </w:r>
          </w:p>
        </w:tc>
      </w:tr>
      <w:tr>
        <w:tc>
          <w:tcPr>
            <w:tcW w:type="dxa" w:w="4819"/>
          </w:tcPr>
          <w:p>
            <w:pPr/>
            <w:r>
              <w:t>Backend indisponível</w:t>
            </w:r>
          </w:p>
        </w:tc>
        <w:tc>
          <w:tcPr>
            <w:tcW w:type="dxa" w:w="4819"/>
          </w:tcPr>
          <w:p>
            <w:pPr/>
            <w:r>
              <w:t>Erro HTTP na API; frontend continuou respondendo</w:t>
            </w:r>
          </w:p>
        </w:tc>
      </w:tr>
    </w:tbl>
    <w:p>
      <w:pPr/>
      <w:r>
        <w:t>Os testes unitários usam o runner e mocks do Node 24, sem uma dependência adicional de testes. Eles cobrem opções/headers, envio de JSON, erros HTTP, respostas vazias, rede/cancelamento, JSON inválido e caminhos inválidos.</w:t>
      </w:r>
    </w:p>
    <w:p>
      <w:pPr/>
      <w:r>
        <w:t>Para verificar o proxy, foi usado um servidor HTTP temporário e isolado, não o NestJS real. Ele simulou respostas e permitiu conferir os dois comportamentos do prefixo. Os servidores do teste foram encerrados.</w:t>
      </w:r>
    </w:p>
    <w:p>
      <w:pPr/>
      <w:r>
        <w:t>A validação da tela foi programática; não substitui uma revisão visual e de usabilidade no navegador. A interface definitiva pertence à Nadla.</w:t>
      </w:r>
    </w:p>
    <w:p>
      <w:pPr/>
      <w:r>
        <w:t>Permanecem pendentes: validação real com NestJS/PostgreSQL; execução pelo Compose oficial da #22; páginas/rotas da Nadla; revisão, commit, push e PR. A #25 deve continuar aberta até todos os critérios aplicáveis serem atendidos.</w:t>
      </w:r>
    </w:p>
    <w:p>
      <w:pPr>
        <w:pStyle w:val="Heading1"/>
      </w:pPr>
      <w:r>
        <w:t>11. Como a Nadla continua</w:t>
      </w:r>
    </w:p>
    <w:p>
      <w:pPr/>
      <w:r>
        <w:t>Primeiro, essa base deve ser revisada e integrada na develop. Depois, Nadla cria uma branch da develop atualizada e implementa App.tsx, pages, components, hooks e estilos. A dependência react-router já está pronta.</w:t>
      </w:r>
    </w:p>
    <w:p>
      <w:pPr/>
      <w:r>
        <w:t>Rainan mantém as configurações, scripts, serviço HTTP e instruções técnicas. Mudanças de dependências devem ser combinadas para evitar conflitos no package-lock.json. As páginas básicas podem ser feitas sem o backend.</w:t>
      </w:r>
    </w:p>
    <w:p>
      <w:pPr/>
      <w:r>
        <w:t>Após revisão local, estes são comandos possíveis para versionar a entrega. Eles são próximos passos e não foram executados:</w:t>
      </w:r>
    </w:p>
    <w:p>
      <w:pPr>
        <w:pStyle w:val="Comandos"/>
      </w:pPr>
      <w:r>
        <w:t>git add frontend README.md docs/README.md docs/frontend-setup.md docs/frontend-setup.docx</w:t>
        <w:br/>
        <w:t>git commit -m "feat: prepara base tecnica do frontend #25"</w:t>
        <w:br/>
        <w:t>git push -u origin feat/25-frontend-base</w:t>
      </w:r>
    </w:p>
    <w:p>
      <w:pPr/>
      <w:r>
        <w:t>O PR deve ter base develop e descrever a parte de Rainan. Use Refs #25 na descrição para relacionar a task sem fechá-la prematuramente. O time precisa alinhar esse fluxo com a documentação antiga da DoD.</w:t>
      </w:r>
    </w:p>
    <w:p>
      <w:pPr>
        <w:pStyle w:val="Heading1"/>
      </w:pPr>
      <w:r>
        <w:t>12. Referências oficiais</w:t>
      </w:r>
    </w:p>
    <w:p>
      <w:pPr>
        <w:pStyle w:val="ListBullet"/>
      </w:pPr>
      <w:r>
        <w:t>Vite: criação do projeto e scripts (https://vite.dev/guide/)</w:t>
      </w:r>
    </w:p>
    <w:p>
      <w:pPr>
        <w:pStyle w:val="ListBullet"/>
      </w:pPr>
      <w:r>
        <w:t>Vite: servidor, portas e proxy (https://vite.dev/config/server-options)</w:t>
      </w:r>
    </w:p>
    <w:p>
      <w:pPr>
        <w:pStyle w:val="ListBullet"/>
      </w:pPr>
      <w:r>
        <w:t>Vite: preview (https://vite.dev/config/preview-options)</w:t>
      </w:r>
    </w:p>
    <w:p>
      <w:pPr>
        <w:pStyle w:val="ListBullet"/>
      </w:pPr>
      <w:r>
        <w:t>Vite: variáveis de ambiente (https://vite.dev/guide/env-and-mode)</w:t>
      </w:r>
    </w:p>
    <w:p>
      <w:pPr>
        <w:pStyle w:val="ListBullet"/>
      </w:pPr>
      <w:r>
        <w:t>ESLint: configuração (https://eslint.org/docs/latest/use/configure/configuration-files)</w:t>
      </w:r>
    </w:p>
    <w:p>
      <w:pPr>
        <w:pStyle w:val="ListBullet"/>
      </w:pPr>
      <w:r>
        <w:t>Prettier: integração com linters (https://prettier.io/docs/integrating-with-linters)</w:t>
      </w:r>
    </w:p>
    <w:p>
      <w:pPr>
        <w:pStyle w:val="ListBullet"/>
      </w:pPr>
      <w:r>
        <w:t>Node 24: suporte a TypeScript (https://nodejs.org/docs/latest-v24.x/api/typescript.html)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Base do frontend · Parte de Rainan · 06/10/2026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GreenER / Equipe Undefined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4382F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56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5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B56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s">
    <w:name w:val="Comandos"/>
    <w:basedOn w:val="Normal"/>
    <w:pPr>
      <w:spacing w:line="240" w:lineRule="auto" w:before="80" w:after="140"/>
      <w:shd w:fill="EFF5F1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foi criada a base do frontend GreenER</dc:title>
  <dc:subject>Guia para iniciantes: implementação da parte de Rainan na task #25</dc:subject>
  <dc:creator>Equipe Undefined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