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37A4C"/>
          <w:sz w:val="20"/>
        </w:rPr>
        <w:t>B-RESERVE · DOCUMENTATION MODULE</w:t>
      </w:r>
    </w:p>
    <w:p>
      <w:pPr>
        <w:spacing w:after="80"/>
      </w:pPr>
      <w:r>
        <w:rPr>
          <w:b/>
          <w:color w:val="192342"/>
          <w:sz w:val="60"/>
        </w:rPr>
        <w:t>Location de voitures</w:t>
      </w:r>
    </w:p>
    <w:p>
      <w:pPr>
        <w:spacing w:after="200"/>
      </w:pPr>
      <w:r>
        <w:rPr>
          <w:i/>
          <w:color w:val="4A5170"/>
          <w:sz w:val="22"/>
        </w:rPr>
        <w:t>Marketplace 100% partenaires, réservation et paiement — parcours complet du client jusqu’à la facture et la commission de l’agence.</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fill="192342"/>
          </w:tcPr>
          <w:p>
            <w:r/>
            <w:r>
              <w:rPr>
                <w:b/>
                <w:color w:val="FFFFFF"/>
                <w:sz w:val="16"/>
              </w:rPr>
              <w:t>ROUTE</w:t>
            </w:r>
          </w:p>
        </w:tc>
        <w:tc>
          <w:tcPr>
            <w:tcW w:type="dxa" w:w="2436"/>
            <w:shd w:fill="192342"/>
          </w:tcPr>
          <w:p>
            <w:r/>
            <w:r>
              <w:rPr>
                <w:b/>
                <w:color w:val="FFFFFF"/>
                <w:sz w:val="16"/>
              </w:rPr>
              <w:t>MIS A JOUR LE</w:t>
            </w:r>
          </w:p>
        </w:tc>
        <w:tc>
          <w:tcPr>
            <w:tcW w:type="dxa" w:w="2436"/>
            <w:shd w:fill="192342"/>
          </w:tcPr>
          <w:p>
            <w:r/>
            <w:r>
              <w:rPr>
                <w:b/>
                <w:color w:val="FFFFFF"/>
                <w:sz w:val="16"/>
              </w:rPr>
              <w:t>PILE TECHNIQUE</w:t>
            </w:r>
          </w:p>
        </w:tc>
        <w:tc>
          <w:tcPr>
            <w:tcW w:type="dxa" w:w="2436"/>
            <w:shd w:fill="192342"/>
          </w:tcPr>
          <w:p>
            <w:r/>
            <w:r>
              <w:rPr>
                <w:b/>
                <w:color w:val="FFFFFF"/>
                <w:sz w:val="16"/>
              </w:rPr>
              <w:t>SÉCURITÉ PRIX</w:t>
            </w:r>
          </w:p>
        </w:tc>
      </w:tr>
      <w:tr>
        <w:tc>
          <w:tcPr>
            <w:tcW w:type="dxa" w:w="2436"/>
          </w:tcPr>
          <w:p>
            <w:r/>
            <w:r>
              <w:rPr>
                <w:sz w:val="19"/>
              </w:rPr>
              <w:t>/cars</w:t>
            </w:r>
          </w:p>
        </w:tc>
        <w:tc>
          <w:tcPr>
            <w:tcW w:type="dxa" w:w="2436"/>
          </w:tcPr>
          <w:p>
            <w:r/>
            <w:r>
              <w:rPr>
                <w:sz w:val="19"/>
              </w:rPr>
              <w:t>10 sept. 2026</w:t>
            </w:r>
          </w:p>
        </w:tc>
        <w:tc>
          <w:tcPr>
            <w:tcW w:type="dxa" w:w="2436"/>
          </w:tcPr>
          <w:p>
            <w:r/>
            <w:r>
              <w:rPr>
                <w:sz w:val="19"/>
              </w:rPr>
              <w:t>React · Supabase Edge Functions</w:t>
            </w:r>
          </w:p>
        </w:tc>
        <w:tc>
          <w:tcPr>
            <w:tcW w:type="dxa" w:w="2436"/>
          </w:tcPr>
          <w:p>
            <w:r/>
            <w:r>
              <w:rPr>
                <w:sz w:val="19"/>
              </w:rPr>
              <w:t>HMAC-SHA256, TTL 30 min</w:t>
            </w:r>
          </w:p>
        </w:tc>
      </w:tr>
    </w:tbl>
    <w:p>
      <w:pPr>
        <w:spacing w:after="200"/>
      </w:pPr>
    </w:p>
    <w:p>
      <w:pPr>
        <w:spacing w:before="80" w:after="80"/>
        <w:pBdr>
          <w:bottom w:val="single" w:sz="6" w:space="1" w:color="DDE1EA"/>
        </w:pBdr>
      </w:pPr>
    </w:p>
    <w:p>
      <w:pPr>
        <w:pStyle w:val="Heading1"/>
      </w:pPr>
      <w:r>
        <w:t>01 — Vue d’ensemble</w:t>
      </w:r>
    </w:p>
    <w:p>
      <w:pPr>
        <w:spacing w:after="120"/>
      </w:pPr>
      <w:r>
        <w:rPr>
          <w:b w:val="0"/>
          <w:i w:val="0"/>
          <w:sz w:val="21"/>
        </w:rPr>
        <w:t>Le module voiture couvre tout le cycle : recherche d’un véhicule sur une période et un lieu donnés, comparaison et filtrage des offres, réservation avec vérification d’identité de session, puis paiement. Il combine cinq API de location tierces, un catalogue interne alimenté par les agences partenaires, et un jeu de données de secours pour ne jamais afficher une page vide.</w:t>
      </w:r>
    </w:p>
    <w:p>
      <w:pPr>
        <w:spacing w:after="120"/>
      </w:pPr>
      <w:r>
        <w:rPr>
          <w:b w:val="0"/>
          <w:i w:val="0"/>
          <w:sz w:val="21"/>
        </w:rPr>
        <w:t>Trois fichiers en sont l’entrée : la page src/pages/Cars.tsx (route /cars), le formulaire src/components/CarSearchForm.tsx, et la fonction Edge supabase/functions/car-rental/index.ts qui interroge les fournisseurs. Le lien de navigation existe déjà (src/components/Navbar.tsx:74, libellé nav.carRental).</w:t>
      </w:r>
    </w:p>
    <w:p>
      <w:pPr>
        <w:pStyle w:val="Heading1"/>
      </w:pPr>
      <w:r>
        <w:t>02 — Parcours de recherche</w:t>
      </w:r>
    </w:p>
    <w:p>
      <w:pPr>
        <w:spacing w:after="120"/>
      </w:pPr>
      <w:r>
        <w:rPr>
          <w:b w:val="0"/>
          <w:i w:val="0"/>
          <w:sz w:val="21"/>
        </w:rPr>
        <w:t>Une recherche traverse quatre étapes avant qu’un prix n’apparaisse à l’écran : validation, appel réseau, agrégation des fournisseurs, puis signature du prix final.</w:t>
      </w:r>
    </w:p>
    <w:p>
      <w:pPr>
        <w:pStyle w:val="Heading3"/>
      </w:pPr>
      <w:r>
        <w:t>Formulaire de recherche (CarSearchForm.tsx)</w:t>
      </w:r>
    </w:p>
    <w:p>
      <w:pPr>
        <w:spacing w:after="120"/>
      </w:pPr>
      <w:r>
        <w:rPr>
          <w:b w:val="0"/>
          <w:i w:val="0"/>
          <w:sz w:val="21"/>
        </w:rPr>
        <w:t>Lieu de prise en charge / restitution, dates &amp; heures, âge du conducteur. Validation Zod en temps réel via carRentalSchema — restitution ≥ 3 caractères, âge 21–99 ans, retour strictement après la prise en charge.</w:t>
      </w:r>
    </w:p>
    <w:p>
      <w:pPr>
        <w:pStyle w:val="Heading3"/>
      </w:pPr>
      <w:r>
        <w:t>Page résultats (Cars.tsx)</w:t>
      </w:r>
    </w:p>
    <w:p>
      <w:pPr>
        <w:spacing w:after="120"/>
      </w:pPr>
      <w:r>
        <w:rPr>
          <w:b w:val="0"/>
          <w:i w:val="0"/>
          <w:sz w:val="21"/>
        </w:rPr>
        <w:t>Sans paramètres d’URL : charge automatiquement des offres pour 5 villes populaires (Paris, Nice, Lyon, Marseille, Bordeaux) + les véhicules partenaires, pour ne jamais afficher une page vide au premier chargement.</w:t>
      </w:r>
    </w:p>
    <w:p>
      <w:pPr>
        <w:pStyle w:val="Heading3"/>
      </w:pPr>
      <w:r>
        <w:t>Fonction Edge car-rental</w:t>
      </w:r>
    </w:p>
    <w:p>
      <w:pPr>
        <w:spacing w:after="120"/>
      </w:pPr>
      <w:r>
        <w:rPr>
          <w:b w:val="0"/>
          <w:i w:val="0"/>
          <w:sz w:val="21"/>
        </w:rPr>
        <w:t>Limite de débit 30 req/min par IP, puis interroge en parallèle (Promise.all) :</w:t>
      </w:r>
    </w:p>
    <w:p>
      <w:pPr>
        <w:pStyle w:val="ListBullet"/>
        <w:spacing w:after="60"/>
      </w:pPr>
      <w:r>
        <w:rPr>
          <w:sz w:val="21"/>
        </w:rPr>
        <w:t>Partenaires B-Reserve (unique source - RapidAPI retire le 10/09/2026)</w:t>
      </w:r>
    </w:p>
    <w:p>
      <w:pPr>
        <w:pStyle w:val="Heading3"/>
      </w:pPr>
      <w:r>
        <w:t>Majoration &amp; signature</w:t>
      </w:r>
    </w:p>
    <w:p>
      <w:pPr>
        <w:spacing w:after="120"/>
      </w:pPr>
      <w:r>
        <w:rPr>
          <w:b w:val="0"/>
          <w:i w:val="0"/>
          <w:sz w:val="21"/>
        </w:rPr>
        <w:t>+8 % appliqué au prix fournisseur (jamais aux voitures partenaires, déjà au tarif final), puis chaque offre est signée en HMAC-SHA256 avec une validité de 30 minutes avant d’être renvoyée au client.</w:t>
      </w:r>
    </w:p>
    <w:p>
      <w:pPr>
        <w:pStyle w:val="Heading3"/>
      </w:pPr>
      <w:r>
        <w:t>Affichage &amp; filtres</w:t>
      </w:r>
    </w:p>
    <w:p>
      <w:pPr>
        <w:spacing w:after="120"/>
      </w:pPr>
      <w:r>
        <w:rPr>
          <w:b w:val="0"/>
          <w:i w:val="0"/>
          <w:sz w:val="21"/>
        </w:rPr>
        <w:t>Filtrage côté client (catégorie, prix, transmission, carburant, agence, kilométrage illimité, annulation gratuite) et tri, sans nouvel appel réseau.</w:t>
      </w:r>
    </w:p>
    <w:p>
      <w:pPr>
        <w:spacing w:after="120"/>
      </w:pPr>
      <w:r>
        <w:rPr>
          <w:b w:val="0"/>
          <w:i w:val="0"/>
          <w:sz w:val="21"/>
        </w:rPr>
        <w:t>Depuis le 10 septembre 2026, cette fonction a été supprimée : sans RAPIDAPI_KEY, seuls les véhicules partenaires réels sont retournés (source: "partner"), ou une liste vide honnête (source: "none") si aucun ne correspond.</w:t>
      </w:r>
    </w:p>
    <w:p>
      <w:pPr>
        <w:pStyle w:val="Heading1"/>
      </w:pPr>
      <w:r>
        <w:t>03 — Parcours de réservation</w:t>
      </w:r>
    </w:p>
    <w:p>
      <w:pPr>
        <w:spacing w:after="120"/>
      </w:pPr>
      <w:r>
        <w:rPr>
          <w:b w:val="0"/>
          <w:i w:val="0"/>
          <w:sz w:val="21"/>
        </w:rPr>
        <w:t>La réservation revérifie tout ce que le client affirme — session, forme des données, et surtout le prix — avant d’écrire quoi que ce soit en base.</w:t>
      </w:r>
    </w:p>
    <w:p>
      <w:pPr>
        <w:pStyle w:val="Heading3"/>
      </w:pPr>
      <w:r>
        <w:t>Ouverture du panneau de réservation (CarBookingDialog.tsx)</w:t>
      </w:r>
    </w:p>
    <w:p>
      <w:pPr>
        <w:spacing w:after="120"/>
      </w:pPr>
      <w:r>
        <w:rPr>
          <w:b w:val="0"/>
          <w:i w:val="0"/>
          <w:sz w:val="21"/>
        </w:rPr>
        <w:t>Session vérifiée dès l’ouverture (pas seulement à la soumission) : si l’utilisateur n’est pas connecté, redirection immédiate vers /auth plutôt que de le laisser remplir 9 champs pour rien.</w:t>
      </w:r>
    </w:p>
    <w:p>
      <w:pPr>
        <w:pStyle w:val="Heading3"/>
      </w:pPr>
      <w:r>
        <w:t>Validation locale (carBookingSchema)</w:t>
      </w:r>
    </w:p>
    <w:p>
      <w:pPr>
        <w:spacing w:after="120"/>
      </w:pPr>
      <w:r>
        <w:rPr>
          <w:b w:val="0"/>
          <w:i w:val="0"/>
          <w:sz w:val="21"/>
        </w:rPr>
        <w:t>Voir le détail champ par champ ci-dessous. Le nombre de jours facturés est recalculé à partir de pickupTime/dropoffTime, pas seulement des dates.</w:t>
      </w:r>
    </w:p>
    <w:p>
      <w:pPr>
        <w:pStyle w:val="Heading3"/>
      </w:pPr>
      <w:r>
        <w:t>Fonction Edge create-booking</w:t>
      </w:r>
    </w:p>
    <w:p>
      <w:pPr>
        <w:spacing w:after="120"/>
      </w:pPr>
      <w:r>
        <w:rPr>
          <w:b w:val="0"/>
          <w:i w:val="0"/>
          <w:sz w:val="21"/>
        </w:rPr>
        <w:t>’car’ fait partie des types à offre signée obligatoire (SIGNED_OFFER_SERVICE_TYPES). La signature offerSignature et son expiration sont revérifiées, puis le prix total est recalculé côté serveur — jamais accepté tel quel depuis le client.</w:t>
      </w:r>
    </w:p>
    <w:p>
      <w:pPr>
        <w:pStyle w:val="Heading3"/>
      </w:pPr>
      <w:r>
        <w:t>Réservation créée</w:t>
      </w:r>
    </w:p>
    <w:p>
      <w:pPr>
        <w:spacing w:after="120"/>
      </w:pPr>
      <w:r>
        <w:rPr>
          <w:b w:val="0"/>
          <w:i w:val="0"/>
          <w:sz w:val="21"/>
        </w:rPr>
        <w:t>Statut pending / paiement pending. Redirection vers /payment?bookingId=…</w:t>
      </w:r>
    </w:p>
    <w:p>
      <w:pPr>
        <w:spacing w:after="40"/>
      </w:pPr>
      <w:r>
        <w:rPr>
          <w:b/>
          <w:i w:val="0"/>
          <w:color w:val="A15C00"/>
          <w:sz w:val="21"/>
        </w:rPr>
        <w:t>Offre expirée :</w:t>
      </w:r>
    </w:p>
    <w:p>
      <w:pPr>
        <w:spacing w:after="120"/>
      </w:pPr>
      <w:r>
        <w:rPr>
          <w:b w:val="0"/>
          <w:i w:val="0"/>
          <w:sz w:val="21"/>
        </w:rPr>
        <w:t>Si offerSignature ou offerExpiresAt est manquant côté client, la réservation est bloquée avec le message « Cette offre n’est plus valide, veuillez relancer une recherche » — évite qu’un prix affiché puis obsolète (&gt; 30 min) ne soit facturé.</w:t>
      </w:r>
    </w:p>
    <w:p>
      <w:pPr>
        <w:pStyle w:val="Heading3"/>
      </w:pPr>
      <w:r>
        <w:t>Informations demandées avant de pouvoir réserver</w:t>
      </w:r>
    </w:p>
    <w:p>
      <w:pPr>
        <w:spacing w:after="120"/>
      </w:pPr>
      <w:r>
        <w:rPr>
          <w:b w:val="0"/>
          <w:i w:val="0"/>
          <w:sz w:val="21"/>
        </w:rPr>
        <w:t>Un compte connecté est le seul prérequis avant même d’ouvrir le formulaire. Le formulaire lui-même (CarBookingDialog.tsx) demande ensuite :</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192342"/>
          </w:tcPr>
          <w:p>
            <w:r/>
            <w:r>
              <w:rPr>
                <w:b/>
                <w:color w:val="FFFFFF"/>
                <w:sz w:val="19"/>
              </w:rPr>
              <w:t>Champ</w:t>
            </w:r>
          </w:p>
        </w:tc>
        <w:tc>
          <w:tcPr>
            <w:tcW w:type="dxa" w:w="3249"/>
            <w:shd w:fill="192342"/>
          </w:tcPr>
          <w:p>
            <w:r/>
            <w:r>
              <w:rPr>
                <w:b/>
                <w:color w:val="FFFFFF"/>
                <w:sz w:val="19"/>
              </w:rPr>
              <w:t>Obligatoire</w:t>
            </w:r>
          </w:p>
        </w:tc>
        <w:tc>
          <w:tcPr>
            <w:tcW w:type="dxa" w:w="3249"/>
            <w:shd w:fill="192342"/>
          </w:tcPr>
          <w:p>
            <w:r/>
            <w:r>
              <w:rPr>
                <w:b/>
                <w:color w:val="FFFFFF"/>
                <w:sz w:val="19"/>
              </w:rPr>
              <w:t>Règle de validation (carBookingSchema)</w:t>
            </w:r>
          </w:p>
        </w:tc>
      </w:tr>
      <w:tr>
        <w:tc>
          <w:tcPr>
            <w:tcW w:type="dxa" w:w="3249"/>
          </w:tcPr>
          <w:p>
            <w:r/>
            <w:r>
              <w:rPr>
                <w:sz w:val="19"/>
              </w:rPr>
              <w:t>Lieu de prise en charge</w:t>
            </w:r>
          </w:p>
        </w:tc>
        <w:tc>
          <w:tcPr>
            <w:tcW w:type="dxa" w:w="3249"/>
          </w:tcPr>
          <w:p>
            <w:r/>
            <w:r>
              <w:rPr>
                <w:sz w:val="19"/>
              </w:rPr>
              <w:t>Oui</w:t>
            </w:r>
          </w:p>
        </w:tc>
        <w:tc>
          <w:tcPr>
            <w:tcW w:type="dxa" w:w="3249"/>
          </w:tcPr>
          <w:p>
            <w:r/>
            <w:r>
              <w:rPr>
                <w:sz w:val="19"/>
              </w:rPr>
              <w:t>3 à 200 caractères</w:t>
            </w:r>
          </w:p>
        </w:tc>
      </w:tr>
      <w:tr>
        <w:tc>
          <w:tcPr>
            <w:tcW w:type="dxa" w:w="3249"/>
          </w:tcPr>
          <w:p>
            <w:r/>
            <w:r>
              <w:rPr>
                <w:sz w:val="19"/>
              </w:rPr>
              <w:t>Date + heure de prise en charge</w:t>
            </w:r>
          </w:p>
        </w:tc>
        <w:tc>
          <w:tcPr>
            <w:tcW w:type="dxa" w:w="3249"/>
          </w:tcPr>
          <w:p>
            <w:r/>
            <w:r>
              <w:rPr>
                <w:sz w:val="19"/>
              </w:rPr>
              <w:t>Oui</w:t>
            </w:r>
          </w:p>
        </w:tc>
        <w:tc>
          <w:tcPr>
            <w:tcW w:type="dxa" w:w="3249"/>
          </w:tcPr>
          <w:p>
            <w:r/>
            <w:r>
              <w:rPr>
                <w:sz w:val="19"/>
              </w:rPr>
              <w:t>Heure par défaut 10:00</w:t>
            </w:r>
          </w:p>
        </w:tc>
      </w:tr>
      <w:tr>
        <w:tc>
          <w:tcPr>
            <w:tcW w:type="dxa" w:w="3249"/>
          </w:tcPr>
          <w:p>
            <w:r/>
            <w:r>
              <w:rPr>
                <w:sz w:val="19"/>
              </w:rPr>
              <w:t>Lieu de retour</w:t>
            </w:r>
          </w:p>
        </w:tc>
        <w:tc>
          <w:tcPr>
            <w:tcW w:type="dxa" w:w="3249"/>
          </w:tcPr>
          <w:p>
            <w:r/>
            <w:r>
              <w:rPr>
                <w:sz w:val="19"/>
              </w:rPr>
              <w:t>Oui</w:t>
            </w:r>
          </w:p>
        </w:tc>
        <w:tc>
          <w:tcPr>
            <w:tcW w:type="dxa" w:w="3249"/>
          </w:tcPr>
          <w:p>
            <w:r/>
            <w:r>
              <w:rPr>
                <w:sz w:val="19"/>
              </w:rPr>
              <w:t>3 à 200 caractères</w:t>
            </w:r>
          </w:p>
        </w:tc>
      </w:tr>
      <w:tr>
        <w:tc>
          <w:tcPr>
            <w:tcW w:type="dxa" w:w="3249"/>
          </w:tcPr>
          <w:p>
            <w:r/>
            <w:r>
              <w:rPr>
                <w:sz w:val="19"/>
              </w:rPr>
              <w:t>Date + heure de retour</w:t>
            </w:r>
          </w:p>
        </w:tc>
        <w:tc>
          <w:tcPr>
            <w:tcW w:type="dxa" w:w="3249"/>
          </w:tcPr>
          <w:p>
            <w:r/>
            <w:r>
              <w:rPr>
                <w:sz w:val="19"/>
              </w:rPr>
              <w:t>Oui</w:t>
            </w:r>
          </w:p>
        </w:tc>
        <w:tc>
          <w:tcPr>
            <w:tcW w:type="dxa" w:w="3249"/>
          </w:tcPr>
          <w:p>
            <w:r/>
            <w:r>
              <w:rPr>
                <w:sz w:val="19"/>
              </w:rPr>
              <w:t>Heure par défaut 10:00 ; doit être après la prise en charge</w:t>
            </w:r>
          </w:p>
        </w:tc>
      </w:tr>
      <w:tr>
        <w:tc>
          <w:tcPr>
            <w:tcW w:type="dxa" w:w="3249"/>
          </w:tcPr>
          <w:p>
            <w:r/>
            <w:r>
              <w:rPr>
                <w:sz w:val="19"/>
              </w:rPr>
              <w:t>Nom complet du conducteur</w:t>
            </w:r>
          </w:p>
        </w:tc>
        <w:tc>
          <w:tcPr>
            <w:tcW w:type="dxa" w:w="3249"/>
          </w:tcPr>
          <w:p>
            <w:r/>
            <w:r>
              <w:rPr>
                <w:sz w:val="19"/>
              </w:rPr>
              <w:t>Oui</w:t>
            </w:r>
          </w:p>
        </w:tc>
        <w:tc>
          <w:tcPr>
            <w:tcW w:type="dxa" w:w="3249"/>
          </w:tcPr>
          <w:p>
            <w:r/>
            <w:r>
              <w:rPr>
                <w:sz w:val="19"/>
              </w:rPr>
              <w:t>2 à 100 caractères, lettres/espaces/tirets/apostrophes uniquement</w:t>
            </w:r>
          </w:p>
        </w:tc>
      </w:tr>
      <w:tr>
        <w:tc>
          <w:tcPr>
            <w:tcW w:type="dxa" w:w="3249"/>
          </w:tcPr>
          <w:p>
            <w:r/>
            <w:r>
              <w:rPr>
                <w:sz w:val="19"/>
              </w:rPr>
              <w:t>Numéro de permis de conduire</w:t>
            </w:r>
          </w:p>
        </w:tc>
        <w:tc>
          <w:tcPr>
            <w:tcW w:type="dxa" w:w="3249"/>
          </w:tcPr>
          <w:p>
            <w:r/>
            <w:r>
              <w:rPr>
                <w:sz w:val="19"/>
              </w:rPr>
              <w:t>Oui</w:t>
            </w:r>
          </w:p>
        </w:tc>
        <w:tc>
          <w:tcPr>
            <w:tcW w:type="dxa" w:w="3249"/>
          </w:tcPr>
          <w:p>
            <w:r/>
            <w:r>
              <w:rPr>
                <w:sz w:val="19"/>
              </w:rPr>
              <w:t>5 à 30 caractères, format ^[A-Z0-9-]+$ (majuscules, chiffres, tirets)</w:t>
            </w:r>
          </w:p>
        </w:tc>
      </w:tr>
      <w:tr>
        <w:tc>
          <w:tcPr>
            <w:tcW w:type="dxa" w:w="3249"/>
          </w:tcPr>
          <w:p>
            <w:r/>
            <w:r>
              <w:rPr>
                <w:sz w:val="19"/>
              </w:rPr>
              <w:t>Email</w:t>
            </w:r>
          </w:p>
        </w:tc>
        <w:tc>
          <w:tcPr>
            <w:tcW w:type="dxa" w:w="3249"/>
          </w:tcPr>
          <w:p>
            <w:r/>
            <w:r>
              <w:rPr>
                <w:sz w:val="19"/>
              </w:rPr>
              <w:t>Oui</w:t>
            </w:r>
          </w:p>
        </w:tc>
        <w:tc>
          <w:tcPr>
            <w:tcW w:type="dxa" w:w="3249"/>
          </w:tcPr>
          <w:p>
            <w:r/>
            <w:r>
              <w:rPr>
                <w:sz w:val="19"/>
              </w:rPr>
              <w:t>Format email valide, 255 caractères max</w:t>
            </w:r>
          </w:p>
        </w:tc>
      </w:tr>
      <w:tr>
        <w:tc>
          <w:tcPr>
            <w:tcW w:type="dxa" w:w="3249"/>
          </w:tcPr>
          <w:p>
            <w:r/>
            <w:r>
              <w:rPr>
                <w:sz w:val="19"/>
              </w:rPr>
              <w:t>Téléphone</w:t>
            </w:r>
          </w:p>
        </w:tc>
        <w:tc>
          <w:tcPr>
            <w:tcW w:type="dxa" w:w="3249"/>
          </w:tcPr>
          <w:p>
            <w:r/>
            <w:r>
              <w:rPr>
                <w:sz w:val="19"/>
              </w:rPr>
              <w:t>Oui</w:t>
            </w:r>
          </w:p>
        </w:tc>
        <w:tc>
          <w:tcPr>
            <w:tcW w:type="dxa" w:w="3249"/>
          </w:tcPr>
          <w:p>
            <w:r/>
            <w:r>
              <w:rPr>
                <w:sz w:val="19"/>
              </w:rPr>
              <w:t>8 à 15 chiffres, + optionnel devant</w:t>
            </w:r>
          </w:p>
        </w:tc>
      </w:tr>
      <w:tr>
        <w:tc>
          <w:tcPr>
            <w:tcW w:type="dxa" w:w="3249"/>
          </w:tcPr>
          <w:p>
            <w:r/>
            <w:r>
              <w:rPr>
                <w:sz w:val="19"/>
              </w:rPr>
              <w:t>Photo du permis — recto</w:t>
            </w:r>
          </w:p>
        </w:tc>
        <w:tc>
          <w:tcPr>
            <w:tcW w:type="dxa" w:w="3249"/>
          </w:tcPr>
          <w:p>
            <w:r/>
            <w:r>
              <w:rPr>
                <w:sz w:val="19"/>
              </w:rPr>
              <w:t>Oui</w:t>
            </w:r>
          </w:p>
        </w:tc>
        <w:tc>
          <w:tcPr>
            <w:tcW w:type="dxa" w:w="3249"/>
          </w:tcPr>
          <w:p>
            <w:r/>
            <w:r>
              <w:rPr>
                <w:sz w:val="19"/>
              </w:rPr>
              <w:t>Image, 5 Mo max (ajouté le 10/09/2026)</w:t>
            </w:r>
          </w:p>
        </w:tc>
      </w:tr>
      <w:tr>
        <w:tc>
          <w:tcPr>
            <w:tcW w:type="dxa" w:w="3249"/>
          </w:tcPr>
          <w:p>
            <w:r/>
            <w:r>
              <w:rPr>
                <w:sz w:val="19"/>
              </w:rPr>
              <w:t>Photo du permis — verso</w:t>
            </w:r>
          </w:p>
        </w:tc>
        <w:tc>
          <w:tcPr>
            <w:tcW w:type="dxa" w:w="3249"/>
          </w:tcPr>
          <w:p>
            <w:r/>
            <w:r>
              <w:rPr>
                <w:sz w:val="19"/>
              </w:rPr>
              <w:t>Oui</w:t>
            </w:r>
          </w:p>
        </w:tc>
        <w:tc>
          <w:tcPr>
            <w:tcW w:type="dxa" w:w="3249"/>
          </w:tcPr>
          <w:p>
            <w:r/>
            <w:r>
              <w:rPr>
                <w:sz w:val="19"/>
              </w:rPr>
              <w:t>Image, 5 Mo max (ajouté le 10/09/2026)</w:t>
            </w:r>
          </w:p>
        </w:tc>
      </w:tr>
      <w:tr>
        <w:tc>
          <w:tcPr>
            <w:tcW w:type="dxa" w:w="3249"/>
          </w:tcPr>
          <w:p>
            <w:r/>
            <w:r>
              <w:rPr>
                <w:sz w:val="19"/>
              </w:rPr>
              <w:t>Photo du demandeur</w:t>
            </w:r>
          </w:p>
        </w:tc>
        <w:tc>
          <w:tcPr>
            <w:tcW w:type="dxa" w:w="3249"/>
          </w:tcPr>
          <w:p>
            <w:r/>
            <w:r>
              <w:rPr>
                <w:sz w:val="19"/>
              </w:rPr>
              <w:t>Oui</w:t>
            </w:r>
          </w:p>
        </w:tc>
        <w:tc>
          <w:tcPr>
            <w:tcW w:type="dxa" w:w="3249"/>
          </w:tcPr>
          <w:p>
            <w:r/>
            <w:r>
              <w:rPr>
                <w:sz w:val="19"/>
              </w:rPr>
              <w:t>Image, 5 Mo max (ajouté le 10/09/2026)</w:t>
            </w:r>
          </w:p>
        </w:tc>
      </w:tr>
      <w:tr>
        <w:tc>
          <w:tcPr>
            <w:tcW w:type="dxa" w:w="3249"/>
          </w:tcPr>
          <w:p>
            <w:r/>
            <w:r>
              <w:rPr>
                <w:sz w:val="19"/>
              </w:rPr>
              <w:t>Informations supplémentaires</w:t>
            </w:r>
          </w:p>
        </w:tc>
        <w:tc>
          <w:tcPr>
            <w:tcW w:type="dxa" w:w="3249"/>
          </w:tcPr>
          <w:p>
            <w:r/>
            <w:r>
              <w:rPr>
                <w:sz w:val="19"/>
              </w:rPr>
              <w:t>Non</w:t>
            </w:r>
          </w:p>
        </w:tc>
        <w:tc>
          <w:tcPr>
            <w:tcW w:type="dxa" w:w="3249"/>
          </w:tcPr>
          <w:p>
            <w:r/>
            <w:r>
              <w:rPr>
                <w:sz w:val="19"/>
              </w:rPr>
              <w:t>1000 caractères max</w:t>
            </w:r>
          </w:p>
        </w:tc>
      </w:tr>
    </w:tbl>
    <w:p>
      <w:pPr>
        <w:spacing w:after="80"/>
      </w:pPr>
    </w:p>
    <w:p>
      <w:pPr>
        <w:spacing w:after="120"/>
      </w:pPr>
      <w:r>
        <w:rPr>
          <w:b w:val="0"/>
          <w:i/>
          <w:color w:val="4A5170"/>
          <w:sz w:val="19"/>
        </w:rPr>
        <w:t>Le formulaire de recherche (étape précédente) collecte aussi l’âge du conducteur — utilisé seulement pour afficher un avertissement (« frais jeune conducteur », « restrictions d’âge »), il n’est jamais transmis à la réservation elle-même.</w:t>
      </w:r>
    </w:p>
    <w:p>
      <w:pPr>
        <w:spacing w:after="40"/>
      </w:pPr>
      <w:r>
        <w:rPr>
          <w:b/>
          <w:i w:val="0"/>
          <w:color w:val="037A4C"/>
          <w:sz w:val="21"/>
        </w:rPr>
        <w:t>Stockage des documents d’identité :</w:t>
      </w:r>
    </w:p>
    <w:p>
      <w:pPr>
        <w:spacing w:after="120"/>
      </w:pPr>
      <w:r>
        <w:rPr>
          <w:b w:val="0"/>
          <w:i w:val="0"/>
          <w:sz w:val="21"/>
        </w:rPr>
        <w:t>Les 3 photos passent par une nouvelle fonction Edge upload-driver-document (composant DriverDocumentUpload.tsx), distincte de ImageUpload.tsx / upload-site-asset utilisée pour les photos de véhicules (réservée aux admins/agences, bucket PUBLIC). Le nouveau bucket driver-documents (migration 20260910150000) est privé : chaque client ne peut lire/écrire que son propre dossier (&lt;user_id&gt;/…), les admins peuvent tout lire. Seul le chemin de stockage est conservé dans booking_details, jamais une URL publique.</w:t>
      </w:r>
    </w:p>
    <w:p>
      <w:pPr>
        <w:pStyle w:val="Heading1"/>
      </w:pPr>
      <w:r>
        <w:t>04 — Composants frontend</w:t>
      </w:r>
    </w:p>
    <w:tbl>
      <w:tblPr>
        <w:tblStyle w:val="TableGrid"/>
        <w:tblW w:type="auto" w:w="0"/>
        <w:jc w:val="center"/>
        <w:tblLook w:firstColumn="1" w:firstRow="1" w:lastColumn="0" w:lastRow="0" w:noHBand="0" w:noVBand="1" w:val="04A0"/>
      </w:tblPr>
      <w:tblGrid>
        <w:gridCol w:w="4873"/>
        <w:gridCol w:w="4873"/>
      </w:tblGrid>
      <w:tr>
        <w:tc>
          <w:tcPr>
            <w:tcW w:type="dxa" w:w="4873"/>
            <w:shd w:fill="192342"/>
          </w:tcPr>
          <w:p>
            <w:r/>
            <w:r>
              <w:rPr>
                <w:b/>
                <w:color w:val="FFFFFF"/>
                <w:sz w:val="19"/>
              </w:rPr>
              <w:t>Fichier</w:t>
            </w:r>
          </w:p>
        </w:tc>
        <w:tc>
          <w:tcPr>
            <w:tcW w:type="dxa" w:w="4873"/>
            <w:shd w:fill="192342"/>
          </w:tcPr>
          <w:p>
            <w:r/>
            <w:r>
              <w:rPr>
                <w:b/>
                <w:color w:val="FFFFFF"/>
                <w:sz w:val="19"/>
              </w:rPr>
              <w:t>Rôle</w:t>
            </w:r>
          </w:p>
        </w:tc>
      </w:tr>
      <w:tr>
        <w:tc>
          <w:tcPr>
            <w:tcW w:type="dxa" w:w="4873"/>
          </w:tcPr>
          <w:p>
            <w:r/>
            <w:r>
              <w:rPr>
                <w:sz w:val="19"/>
              </w:rPr>
              <w:t>pages/Cars.tsx</w:t>
            </w:r>
          </w:p>
        </w:tc>
        <w:tc>
          <w:tcPr>
            <w:tcW w:type="dxa" w:w="4873"/>
          </w:tcPr>
          <w:p>
            <w:r/>
            <w:r>
              <w:rPr>
                <w:sz w:val="19"/>
              </w:rPr>
              <w:t>Page résultats — chargement par défaut, filtrage/tri client, pagination (12/page), badges « résultats par défaut ».</w:t>
            </w:r>
          </w:p>
        </w:tc>
      </w:tr>
      <w:tr>
        <w:tc>
          <w:tcPr>
            <w:tcW w:type="dxa" w:w="4873"/>
          </w:tcPr>
          <w:p>
            <w:r/>
            <w:r>
              <w:rPr>
                <w:sz w:val="19"/>
              </w:rPr>
              <w:t>components/CarSearchForm.tsx</w:t>
            </w:r>
          </w:p>
        </w:tc>
        <w:tc>
          <w:tcPr>
            <w:tcW w:type="dxa" w:w="4873"/>
          </w:tcPr>
          <w:p>
            <w:r/>
            <w:r>
              <w:rPr>
                <w:sz w:val="19"/>
              </w:rPr>
              <w:t>Formulaire de recherche premium — lieux, dates/heures, restitution différente, âge conducteur, barre de progression, validation en temps réel.</w:t>
            </w:r>
          </w:p>
        </w:tc>
      </w:tr>
      <w:tr>
        <w:tc>
          <w:tcPr>
            <w:tcW w:type="dxa" w:w="4873"/>
          </w:tcPr>
          <w:p>
            <w:r/>
            <w:r>
              <w:rPr>
                <w:sz w:val="19"/>
              </w:rPr>
              <w:t>components/cars/CarCard.tsx</w:t>
            </w:r>
          </w:p>
        </w:tc>
        <w:tc>
          <w:tcPr>
            <w:tcW w:type="dxa" w:w="4873"/>
          </w:tcPr>
          <w:p>
            <w:r/>
            <w:r>
              <w:rPr>
                <w:sz w:val="19"/>
              </w:rPr>
              <w:t>Carte véhicule dans la grille de résultats — badges catégorie/annulation/kilométrage, specs rapides, prix/jour.</w:t>
            </w:r>
          </w:p>
        </w:tc>
      </w:tr>
      <w:tr>
        <w:tc>
          <w:tcPr>
            <w:tcW w:type="dxa" w:w="4873"/>
          </w:tcPr>
          <w:p>
            <w:r/>
            <w:r>
              <w:rPr>
                <w:sz w:val="19"/>
              </w:rPr>
              <w:t>components/cars/CarFilters.tsx</w:t>
            </w:r>
          </w:p>
        </w:tc>
        <w:tc>
          <w:tcPr>
            <w:tcW w:type="dxa" w:w="4873"/>
          </w:tcPr>
          <w:p>
            <w:r/>
            <w:r>
              <w:rPr>
                <w:sz w:val="19"/>
              </w:rPr>
              <w:t>Panneau de filtres — recherche texte, catégorie, prix (slider), transmission, carburant, options, agences disponibles.</w:t>
            </w:r>
          </w:p>
        </w:tc>
      </w:tr>
      <w:tr>
        <w:tc>
          <w:tcPr>
            <w:tcW w:type="dxa" w:w="4873"/>
          </w:tcPr>
          <w:p>
            <w:r/>
            <w:r>
              <w:rPr>
                <w:sz w:val="19"/>
              </w:rPr>
              <w:t>components/cars/CarDetailsDialog.tsx</w:t>
            </w:r>
          </w:p>
        </w:tc>
        <w:tc>
          <w:tcPr>
            <w:tcW w:type="dxa" w:w="4873"/>
          </w:tcPr>
          <w:p>
            <w:r/>
            <w:r>
              <w:rPr>
                <w:sz w:val="19"/>
              </w:rPr>
              <w:t>Modal détails complet — specs techniques, conditions de location, caution, équipements, lieu de prise en charge.</w:t>
            </w:r>
          </w:p>
        </w:tc>
      </w:tr>
      <w:tr>
        <w:tc>
          <w:tcPr>
            <w:tcW w:type="dxa" w:w="4873"/>
          </w:tcPr>
          <w:p>
            <w:r/>
            <w:r>
              <w:rPr>
                <w:sz w:val="19"/>
              </w:rPr>
              <w:t>components/CarBookingDialog.tsx</w:t>
            </w:r>
          </w:p>
        </w:tc>
        <w:tc>
          <w:tcPr>
            <w:tcW w:type="dxa" w:w="4873"/>
          </w:tcPr>
          <w:p>
            <w:r/>
            <w:r>
              <w:rPr>
                <w:sz w:val="19"/>
              </w:rPr>
              <w:t>Panneau latéral de réservation — lieux/horaires, permis de conduire, coordonnées, notes.</w:t>
            </w:r>
          </w:p>
        </w:tc>
      </w:tr>
      <w:tr>
        <w:tc>
          <w:tcPr>
            <w:tcW w:type="dxa" w:w="4873"/>
          </w:tcPr>
          <w:p>
            <w:r/>
            <w:r>
              <w:rPr>
                <w:sz w:val="19"/>
              </w:rPr>
              <w:t>hooks/useCarRental.ts</w:t>
            </w:r>
          </w:p>
        </w:tc>
        <w:tc>
          <w:tcPr>
            <w:tcW w:type="dxa" w:w="4873"/>
          </w:tcPr>
          <w:p>
            <w:r/>
            <w:r>
              <w:rPr>
                <w:sz w:val="19"/>
              </w:rPr>
              <w:t>Appelle la fonction Edge car-rental via supabase.functions.invoke, gère l’état de chargement/erreur.</w:t>
            </w:r>
          </w:p>
        </w:tc>
      </w:tr>
      <w:tr>
        <w:tc>
          <w:tcPr>
            <w:tcW w:type="dxa" w:w="4873"/>
          </w:tcPr>
          <w:p>
            <w:r/>
            <w:r>
              <w:rPr>
                <w:sz w:val="19"/>
              </w:rPr>
              <w:t>lib/validationSchemas.ts</w:t>
            </w:r>
          </w:p>
        </w:tc>
        <w:tc>
          <w:tcPr>
            <w:tcW w:type="dxa" w:w="4873"/>
          </w:tcPr>
          <w:p>
            <w:r/>
            <w:r>
              <w:rPr>
                <w:sz w:val="19"/>
              </w:rPr>
              <w:t>Schéma Zod carRentalSchema (recherche).</w:t>
            </w:r>
          </w:p>
        </w:tc>
      </w:tr>
      <w:tr>
        <w:tc>
          <w:tcPr>
            <w:tcW w:type="dxa" w:w="4873"/>
          </w:tcPr>
          <w:p>
            <w:r/>
            <w:r>
              <w:rPr>
                <w:sz w:val="19"/>
              </w:rPr>
              <w:t>lib/validation.ts</w:t>
            </w:r>
          </w:p>
        </w:tc>
        <w:tc>
          <w:tcPr>
            <w:tcW w:type="dxa" w:w="4873"/>
          </w:tcPr>
          <w:p>
            <w:r/>
            <w:r>
              <w:rPr>
                <w:sz w:val="19"/>
              </w:rPr>
              <w:t>Schéma Zod carBookingSchema (réservation).</w:t>
            </w:r>
          </w:p>
        </w:tc>
      </w:tr>
    </w:tbl>
    <w:p>
      <w:pPr>
        <w:spacing w:after="80"/>
      </w:pPr>
    </w:p>
    <w:p>
      <w:pPr>
        <w:pStyle w:val="Heading1"/>
      </w:pPr>
      <w:r>
        <w:t>05 — Fonctions backend</w:t>
      </w:r>
    </w:p>
    <w:tbl>
      <w:tblPr>
        <w:tblStyle w:val="TableGrid"/>
        <w:tblW w:type="auto" w:w="0"/>
        <w:jc w:val="center"/>
        <w:tblLook w:firstColumn="1" w:firstRow="1" w:lastColumn="0" w:lastRow="0" w:noHBand="0" w:noVBand="1" w:val="04A0"/>
      </w:tblPr>
      <w:tblGrid>
        <w:gridCol w:w="4873"/>
        <w:gridCol w:w="4873"/>
      </w:tblGrid>
      <w:tr>
        <w:tc>
          <w:tcPr>
            <w:tcW w:type="dxa" w:w="4873"/>
            <w:shd w:fill="192342"/>
          </w:tcPr>
          <w:p>
            <w:r/>
            <w:r>
              <w:rPr>
                <w:b/>
                <w:color w:val="FFFFFF"/>
                <w:sz w:val="19"/>
              </w:rPr>
              <w:t>Fonction</w:t>
            </w:r>
          </w:p>
        </w:tc>
        <w:tc>
          <w:tcPr>
            <w:tcW w:type="dxa" w:w="4873"/>
            <w:shd w:fill="192342"/>
          </w:tcPr>
          <w:p>
            <w:r/>
            <w:r>
              <w:rPr>
                <w:b/>
                <w:color w:val="FFFFFF"/>
                <w:sz w:val="19"/>
              </w:rPr>
              <w:t>Rôle</w:t>
            </w:r>
          </w:p>
        </w:tc>
      </w:tr>
      <w:tr>
        <w:tc>
          <w:tcPr>
            <w:tcW w:type="dxa" w:w="4873"/>
          </w:tcPr>
          <w:p>
            <w:r/>
            <w:r>
              <w:rPr>
                <w:sz w:val="19"/>
              </w:rPr>
              <w:t>car-rental</w:t>
            </w:r>
          </w:p>
        </w:tc>
        <w:tc>
          <w:tcPr>
            <w:tcW w:type="dxa" w:w="4873"/>
          </w:tcPr>
          <w:p>
            <w:r/>
            <w:r>
              <w:rPr>
                <w:sz w:val="19"/>
              </w:rPr>
              <w:t>Recherche parmi les véhicules partenaires uniquement, signature d’offre. Aucune API tierce, aucune majoration, aucun repli fictif.</w:t>
            </w:r>
          </w:p>
        </w:tc>
      </w:tr>
      <w:tr>
        <w:tc>
          <w:tcPr>
            <w:tcW w:type="dxa" w:w="4873"/>
          </w:tcPr>
          <w:p>
            <w:r/>
            <w:r>
              <w:rPr>
                <w:sz w:val="19"/>
              </w:rPr>
              <w:t>car-location-autocomplete</w:t>
            </w:r>
          </w:p>
        </w:tc>
        <w:tc>
          <w:tcPr>
            <w:tcW w:type="dxa" w:w="4873"/>
          </w:tcPr>
          <w:p>
            <w:r/>
            <w:r>
              <w:rPr>
                <w:sz w:val="19"/>
              </w:rPr>
              <w:t>Suggestions de villes/aéroports (_shared/cities-data.ts) ; estime un prix de location à ≈ 30 % du prix moyen de vol vers la ville.</w:t>
            </w:r>
          </w:p>
        </w:tc>
      </w:tr>
      <w:tr>
        <w:tc>
          <w:tcPr>
            <w:tcW w:type="dxa" w:w="4873"/>
          </w:tcPr>
          <w:p>
            <w:r/>
            <w:r>
              <w:rPr>
                <w:sz w:val="19"/>
              </w:rPr>
              <w:t>create-booking</w:t>
            </w:r>
          </w:p>
        </w:tc>
        <w:tc>
          <w:tcPr>
            <w:tcW w:type="dxa" w:w="4873"/>
          </w:tcPr>
          <w:p>
            <w:r/>
            <w:r>
              <w:rPr>
                <w:sz w:val="19"/>
              </w:rPr>
              <w:t>Vérifie la signature d’offre, recalcule le prix total, insère la réservation.</w:t>
            </w:r>
          </w:p>
        </w:tc>
      </w:tr>
      <w:tr>
        <w:tc>
          <w:tcPr>
            <w:tcW w:type="dxa" w:w="4873"/>
          </w:tcPr>
          <w:p>
            <w:r/>
            <w:r>
              <w:rPr>
                <w:sz w:val="19"/>
              </w:rPr>
              <w:t>_shared/pricing.ts</w:t>
            </w:r>
          </w:p>
        </w:tc>
        <w:tc>
          <w:tcPr>
            <w:tcW w:type="dxa" w:w="4873"/>
          </w:tcPr>
          <w:p>
            <w:r/>
            <w:r>
              <w:rPr>
                <w:sz w:val="19"/>
              </w:rPr>
              <w:t>Majoration retail (+8 %) et table de conversion vers XOF.</w:t>
            </w:r>
          </w:p>
        </w:tc>
      </w:tr>
      <w:tr>
        <w:tc>
          <w:tcPr>
            <w:tcW w:type="dxa" w:w="4873"/>
          </w:tcPr>
          <w:p>
            <w:r/>
            <w:r>
              <w:rPr>
                <w:sz w:val="19"/>
              </w:rPr>
              <w:t>_shared/priceSignature.ts</w:t>
            </w:r>
          </w:p>
        </w:tc>
        <w:tc>
          <w:tcPr>
            <w:tcW w:type="dxa" w:w="4873"/>
          </w:tcPr>
          <w:p>
            <w:r/>
            <w:r>
              <w:rPr>
                <w:sz w:val="19"/>
              </w:rPr>
              <w:t>Signature/vérification HMAC-SHA256 des offres avec PRICE_SIGNING_SECRET.</w:t>
            </w:r>
          </w:p>
        </w:tc>
      </w:tr>
      <w:tr>
        <w:tc>
          <w:tcPr>
            <w:tcW w:type="dxa" w:w="4873"/>
          </w:tcPr>
          <w:p>
            <w:r/>
            <w:r>
              <w:rPr>
                <w:sz w:val="19"/>
              </w:rPr>
              <w:t>_shared/rate-limiter.ts</w:t>
            </w:r>
          </w:p>
        </w:tc>
        <w:tc>
          <w:tcPr>
            <w:tcW w:type="dxa" w:w="4873"/>
          </w:tcPr>
          <w:p>
            <w:r/>
            <w:r>
              <w:rPr>
                <w:sz w:val="19"/>
              </w:rPr>
              <w:t>Limite RATE_LIMITS.SEARCH — 30 requêtes / 60 s par IP.</w:t>
            </w:r>
          </w:p>
        </w:tc>
      </w:tr>
    </w:tbl>
    <w:p>
      <w:pPr>
        <w:spacing w:after="80"/>
      </w:pPr>
    </w:p>
    <w:p>
      <w:pPr>
        <w:pStyle w:val="Heading1"/>
      </w:pPr>
      <w:r>
        <w:t>06 — Fournisseurs &amp; données</w:t>
      </w:r>
    </w:p>
    <w:p>
      <w:pPr>
        <w:spacing w:after="120"/>
      </w:pPr>
      <w:r>
        <w:rPr>
          <w:b w:val="0"/>
          <w:i w:val="0"/>
          <w:sz w:val="21"/>
        </w:rPr>
        <w:t>Toutes les sources sont interrogées en parallèle, fusionnées puis triées par prix croissant.</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192342"/>
          </w:tcPr>
          <w:p>
            <w:r/>
            <w:r>
              <w:rPr>
                <w:b/>
                <w:color w:val="FFFFFF"/>
                <w:sz w:val="19"/>
              </w:rPr>
              <w:t>Source</w:t>
            </w:r>
          </w:p>
        </w:tc>
        <w:tc>
          <w:tcPr>
            <w:tcW w:type="dxa" w:w="3249"/>
            <w:shd w:fill="192342"/>
          </w:tcPr>
          <w:p>
            <w:r/>
            <w:r>
              <w:rPr>
                <w:b/>
                <w:color w:val="FFFFFF"/>
                <w:sz w:val="19"/>
              </w:rPr>
              <w:t>Type</w:t>
            </w:r>
          </w:p>
        </w:tc>
        <w:tc>
          <w:tcPr>
            <w:tcW w:type="dxa" w:w="3249"/>
            <w:shd w:fill="192342"/>
          </w:tcPr>
          <w:p>
            <w:r/>
            <w:r>
              <w:rPr>
                <w:b/>
                <w:color w:val="FFFFFF"/>
                <w:sz w:val="19"/>
              </w:rPr>
              <w:t>Détail</w:t>
            </w:r>
          </w:p>
        </w:tc>
      </w:tr>
      <w:tr>
        <w:tc>
          <w:tcPr>
            <w:tcW w:type="dxa" w:w="3249"/>
          </w:tcPr>
          <w:p>
            <w:r/>
            <w:r>
              <w:rPr>
                <w:sz w:val="19"/>
              </w:rPr>
              <w:t>Partenaires B-Reserve</w:t>
            </w:r>
          </w:p>
        </w:tc>
        <w:tc>
          <w:tcPr>
            <w:tcW w:type="dxa" w:w="3249"/>
          </w:tcPr>
          <w:p>
            <w:r/>
            <w:r>
              <w:rPr>
                <w:sz w:val="19"/>
              </w:rPr>
              <w:t>Base interne (unique source)</w:t>
            </w:r>
          </w:p>
        </w:tc>
        <w:tc>
          <w:tcPr>
            <w:tcW w:type="dxa" w:w="3249"/>
          </w:tcPr>
          <w:p>
            <w:r/>
            <w:r>
              <w:rPr>
                <w:sz w:val="19"/>
              </w:rPr>
              <w:t>Table services (type=’car’, available=true) — prix affiché tel quel, sans majoration. RapidAPI (5 API tierces) et le catalogue de secours fictif ont été entièrement retirés du code le 10/09/2026.</w:t>
            </w:r>
          </w:p>
        </w:tc>
      </w:tr>
    </w:tbl>
    <w:p>
      <w:pPr>
        <w:spacing w:after="80"/>
      </w:pPr>
    </w:p>
    <w:p>
      <w:pPr>
        <w:spacing w:after="120"/>
      </w:pPr>
      <w:r>
        <w:rPr>
          <w:b w:val="0"/>
          <w:i/>
          <w:color w:val="4A5170"/>
          <w:sz w:val="19"/>
        </w:rPr>
        <w:t>Les images sont générées à la volée via imagin.studio (rendu 3/4 avant par marque/modèle), avec une bibliothèque de secours Unsplash par catégorie si la marque est inconnue.</w:t>
      </w:r>
    </w:p>
    <w:p>
      <w:pPr>
        <w:pStyle w:val="Heading1"/>
      </w:pPr>
      <w:r>
        <w:t>07 — Modèle de données</w:t>
      </w:r>
    </w:p>
    <w:p>
      <w:pPr>
        <w:spacing w:after="120"/>
      </w:pPr>
      <w:r>
        <w:rPr>
          <w:b w:val="0"/>
          <w:i w:val="0"/>
          <w:sz w:val="21"/>
        </w:rPr>
        <w:t>Les véhicules déposés par les agences partenaires vivent dans la table générique services, partagée avec les hôtels et les vols.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192342"/>
          </w:tcPr>
          <w:p>
            <w:r/>
            <w:r>
              <w:rPr>
                <w:b/>
                <w:color w:val="FFFFFF"/>
                <w:sz w:val="19"/>
              </w:rPr>
              <w:t>Colonne</w:t>
            </w:r>
          </w:p>
        </w:tc>
        <w:tc>
          <w:tcPr>
            <w:tcW w:type="dxa" w:w="3249"/>
            <w:shd w:fill="192342"/>
          </w:tcPr>
          <w:p>
            <w:r/>
            <w:r>
              <w:rPr>
                <w:b/>
                <w:color w:val="FFFFFF"/>
                <w:sz w:val="19"/>
              </w:rPr>
              <w:t>Type</w:t>
            </w:r>
          </w:p>
        </w:tc>
        <w:tc>
          <w:tcPr>
            <w:tcW w:type="dxa" w:w="3249"/>
            <w:shd w:fill="192342"/>
          </w:tcPr>
          <w:p>
            <w:r/>
            <w:r>
              <w:rPr>
                <w:b/>
                <w:color w:val="FFFFFF"/>
                <w:sz w:val="19"/>
              </w:rPr>
              <w:t>Usage pour une voiture</w:t>
            </w:r>
          </w:p>
        </w:tc>
      </w:tr>
      <w:tr>
        <w:tc>
          <w:tcPr>
            <w:tcW w:type="dxa" w:w="3249"/>
          </w:tcPr>
          <w:p>
            <w:r/>
            <w:r>
              <w:rPr>
                <w:sz w:val="19"/>
              </w:rPr>
              <w:t>type</w:t>
            </w:r>
          </w:p>
        </w:tc>
        <w:tc>
          <w:tcPr>
            <w:tcW w:type="dxa" w:w="3249"/>
          </w:tcPr>
          <w:p>
            <w:r/>
            <w:r>
              <w:rPr>
                <w:sz w:val="19"/>
              </w:rPr>
              <w:t>service_type</w:t>
            </w:r>
          </w:p>
        </w:tc>
        <w:tc>
          <w:tcPr>
            <w:tcW w:type="dxa" w:w="3249"/>
          </w:tcPr>
          <w:p>
            <w:r/>
            <w:r>
              <w:rPr>
                <w:sz w:val="19"/>
              </w:rPr>
              <w:t>toujours ’car’</w:t>
            </w:r>
          </w:p>
        </w:tc>
      </w:tr>
      <w:tr>
        <w:tc>
          <w:tcPr>
            <w:tcW w:type="dxa" w:w="3249"/>
          </w:tcPr>
          <w:p>
            <w:r/>
            <w:r>
              <w:rPr>
                <w:sz w:val="19"/>
              </w:rPr>
              <w:t>name</w:t>
            </w:r>
          </w:p>
        </w:tc>
        <w:tc>
          <w:tcPr>
            <w:tcW w:type="dxa" w:w="3249"/>
          </w:tcPr>
          <w:p>
            <w:r/>
            <w:r>
              <w:rPr>
                <w:sz w:val="19"/>
              </w:rPr>
              <w:t>text</w:t>
            </w:r>
          </w:p>
        </w:tc>
        <w:tc>
          <w:tcPr>
            <w:tcW w:type="dxa" w:w="3249"/>
          </w:tcPr>
          <w:p>
            <w:r/>
            <w:r>
              <w:rPr>
                <w:sz w:val="19"/>
              </w:rPr>
              <w:t>ex. « Toyota Corolla 2024 »</w:t>
            </w:r>
          </w:p>
        </w:tc>
      </w:tr>
      <w:tr>
        <w:tc>
          <w:tcPr>
            <w:tcW w:type="dxa" w:w="3249"/>
          </w:tcPr>
          <w:p>
            <w:r/>
            <w:r>
              <w:rPr>
                <w:sz w:val="19"/>
              </w:rPr>
              <w:t>location / destination</w:t>
            </w:r>
          </w:p>
        </w:tc>
        <w:tc>
          <w:tcPr>
            <w:tcW w:type="dxa" w:w="3249"/>
          </w:tcPr>
          <w:p>
            <w:r/>
            <w:r>
              <w:rPr>
                <w:sz w:val="19"/>
              </w:rPr>
              <w:t>text</w:t>
            </w:r>
          </w:p>
        </w:tc>
        <w:tc>
          <w:tcPr>
            <w:tcW w:type="dxa" w:w="3249"/>
          </w:tcPr>
          <w:p>
            <w:r/>
            <w:r>
              <w:rPr>
                <w:sz w:val="19"/>
              </w:rPr>
              <w:t>ville de prise en charge, utilisée pour filtrer les recherches</w:t>
            </w:r>
          </w:p>
        </w:tc>
      </w:tr>
      <w:tr>
        <w:tc>
          <w:tcPr>
            <w:tcW w:type="dxa" w:w="3249"/>
          </w:tcPr>
          <w:p>
            <w:r/>
            <w:r>
              <w:rPr>
                <w:sz w:val="19"/>
              </w:rPr>
              <w:t>price_per_unit</w:t>
            </w:r>
          </w:p>
        </w:tc>
        <w:tc>
          <w:tcPr>
            <w:tcW w:type="dxa" w:w="3249"/>
          </w:tcPr>
          <w:p>
            <w:r/>
            <w:r>
              <w:rPr>
                <w:sz w:val="19"/>
              </w:rPr>
              <w:t>numeric</w:t>
            </w:r>
          </w:p>
        </w:tc>
        <w:tc>
          <w:tcPr>
            <w:tcW w:type="dxa" w:w="3249"/>
          </w:tcPr>
          <w:p>
            <w:r/>
            <w:r>
              <w:rPr>
                <w:sz w:val="19"/>
              </w:rPr>
              <w:t>prix / jour — tarif final, aucune majoration ajoutée</w:t>
            </w:r>
          </w:p>
        </w:tc>
      </w:tr>
      <w:tr>
        <w:tc>
          <w:tcPr>
            <w:tcW w:type="dxa" w:w="3249"/>
          </w:tcPr>
          <w:p>
            <w:r/>
            <w:r>
              <w:rPr>
                <w:sz w:val="19"/>
              </w:rPr>
              <w:t>image_url / images</w:t>
            </w:r>
          </w:p>
        </w:tc>
        <w:tc>
          <w:tcPr>
            <w:tcW w:type="dxa" w:w="3249"/>
          </w:tcPr>
          <w:p>
            <w:r/>
            <w:r>
              <w:rPr>
                <w:sz w:val="19"/>
              </w:rPr>
              <w:t>text / text[]</w:t>
            </w:r>
          </w:p>
        </w:tc>
        <w:tc>
          <w:tcPr>
            <w:tcW w:type="dxa" w:w="3249"/>
          </w:tcPr>
          <w:p>
            <w:r/>
            <w:r>
              <w:rPr>
                <w:sz w:val="19"/>
              </w:rPr>
              <w:t>jusqu’à 6 photos : avant, arrière, gauche, droite, intérieur ×2</w:t>
            </w:r>
          </w:p>
        </w:tc>
      </w:tr>
      <w:tr>
        <w:tc>
          <w:tcPr>
            <w:tcW w:type="dxa" w:w="3249"/>
          </w:tcPr>
          <w:p>
            <w:r/>
            <w:r>
              <w:rPr>
                <w:sz w:val="19"/>
              </w:rPr>
              <w:t>available / featured</w:t>
            </w:r>
          </w:p>
        </w:tc>
        <w:tc>
          <w:tcPr>
            <w:tcW w:type="dxa" w:w="3249"/>
          </w:tcPr>
          <w:p>
            <w:r/>
            <w:r>
              <w:rPr>
                <w:sz w:val="19"/>
              </w:rPr>
              <w:t>boolean</w:t>
            </w:r>
          </w:p>
        </w:tc>
        <w:tc>
          <w:tcPr>
            <w:tcW w:type="dxa" w:w="3249"/>
          </w:tcPr>
          <w:p>
            <w:r/>
            <w:r>
              <w:rPr>
                <w:sz w:val="19"/>
              </w:rPr>
              <w:t>visibilité publique / mise en avant</w:t>
            </w:r>
          </w:p>
        </w:tc>
      </w:tr>
      <w:tr>
        <w:tc>
          <w:tcPr>
            <w:tcW w:type="dxa" w:w="3249"/>
          </w:tcPr>
          <w:p>
            <w:r/>
            <w:r>
              <w:rPr>
                <w:sz w:val="19"/>
              </w:rPr>
              <w:t>specifications</w:t>
            </w:r>
          </w:p>
        </w:tc>
        <w:tc>
          <w:tcPr>
            <w:tcW w:type="dxa" w:w="3249"/>
          </w:tcPr>
          <w:p>
            <w:r/>
            <w:r>
              <w:rPr>
                <w:sz w:val="19"/>
              </w:rPr>
              <w:t>jsonb</w:t>
            </w:r>
          </w:p>
        </w:tc>
        <w:tc>
          <w:tcPr>
            <w:tcW w:type="dxa" w:w="3249"/>
          </w:tcPr>
          <w:p>
            <w:r/>
            <w:r>
              <w:rPr>
                <w:sz w:val="19"/>
              </w:rPr>
              <w:t>brand, model, category, seats, doors, transmission, fuel, luggage, year, unlimitedMileage, freeCancellation</w:t>
            </w:r>
          </w:p>
        </w:tc>
      </w:tr>
    </w:tbl>
    <w:p>
      <w:pPr>
        <w:spacing w:after="80"/>
      </w:pPr>
    </w:p>
    <w:p>
      <w:pPr>
        <w:pStyle w:val="Heading3"/>
      </w:pPr>
      <w:r>
        <w:t>bookings — spécifique voiture</w:t>
      </w:r>
    </w:p>
    <w:p>
      <w:pPr>
        <w:pStyle w:val="ListBullet"/>
        <w:spacing w:after="60"/>
      </w:pPr>
      <w:r>
        <w:rPr>
          <w:sz w:val="21"/>
        </w:rPr>
        <w:t>service_type = ’car’</w:t>
      </w:r>
    </w:p>
    <w:p>
      <w:pPr>
        <w:pStyle w:val="ListBullet"/>
        <w:spacing w:after="60"/>
      </w:pPr>
      <w:r>
        <w:rPr>
          <w:sz w:val="21"/>
        </w:rPr>
        <w:t>booking_details.pickupTime / dropoffTime</w:t>
      </w:r>
    </w:p>
    <w:p>
      <w:pPr>
        <w:pStyle w:val="ListBullet"/>
        <w:spacing w:after="60"/>
      </w:pPr>
      <w:r>
        <w:rPr>
          <w:sz w:val="21"/>
        </w:rPr>
        <w:t>booking_details.pickupLocation / dropoffLocation</w:t>
      </w:r>
    </w:p>
    <w:p>
      <w:pPr>
        <w:pStyle w:val="ListBullet"/>
        <w:spacing w:after="60"/>
      </w:pPr>
      <w:r>
        <w:rPr>
          <w:sz w:val="21"/>
        </w:rPr>
        <w:t>booking_details.driverLicense</w:t>
      </w:r>
    </w:p>
    <w:p>
      <w:pPr>
        <w:pStyle w:val="ListBullet"/>
        <w:spacing w:after="60"/>
      </w:pPr>
      <w:r>
        <w:rPr>
          <w:sz w:val="21"/>
        </w:rPr>
        <w:t>offer_signature / offer_expires_at</w:t>
      </w:r>
    </w:p>
    <w:p>
      <w:pPr>
        <w:pStyle w:val="Heading3"/>
      </w:pPr>
      <w:r>
        <w:t>Accès lecture</w:t>
      </w:r>
    </w:p>
    <w:p>
      <w:pPr>
        <w:pStyle w:val="ListBullet"/>
        <w:spacing w:after="60"/>
      </w:pPr>
      <w:r>
        <w:rPr>
          <w:sz w:val="21"/>
        </w:rPr>
        <w:t>Politique RLS : « Services are viewable by everyone » WHERE available = true</w:t>
      </w:r>
    </w:p>
    <w:p>
      <w:pPr>
        <w:pStyle w:val="ListBullet"/>
        <w:spacing w:after="60"/>
      </w:pPr>
      <w:r>
        <w:rPr>
          <w:sz w:val="21"/>
        </w:rPr>
        <w:t>Lecture via la clé anonyme — aucune clé de service requise pour fetchPartnerCars()</w:t>
      </w:r>
    </w:p>
    <w:p>
      <w:pPr>
        <w:pStyle w:val="Heading1"/>
      </w:pPr>
      <w:r>
        <w:t>08 — Sécurité &amp; intégrité des prix</w:t>
      </w:r>
    </w:p>
    <w:p>
      <w:pPr>
        <w:pStyle w:val="Heading3"/>
      </w:pPr>
      <w:r>
        <w:t>Signature d’offre</w:t>
      </w:r>
    </w:p>
    <w:p>
      <w:pPr>
        <w:pStyle w:val="ListBullet"/>
        <w:spacing w:after="60"/>
      </w:pPr>
      <w:r>
        <w:rPr>
          <w:sz w:val="21"/>
        </w:rPr>
        <w:t>HMAC-SHA256 sur {service_type, service_name, location, unit_price, currency, expires_at}</w:t>
      </w:r>
    </w:p>
    <w:p>
      <w:pPr>
        <w:pStyle w:val="ListBullet"/>
        <w:spacing w:after="60"/>
      </w:pPr>
      <w:r>
        <w:rPr>
          <w:sz w:val="21"/>
        </w:rPr>
        <w:t>Validité 30 minutes (OFFER_VALIDITY_MINUTES)</w:t>
      </w:r>
    </w:p>
    <w:p>
      <w:pPr>
        <w:pStyle w:val="ListBullet"/>
        <w:spacing w:after="60"/>
      </w:pPr>
      <w:r>
        <w:rPr>
          <w:sz w:val="21"/>
        </w:rPr>
        <w:t>Secret dédié PRICE_SIGNING_SECRET, distinct de la clé de service (limite le rayon d’un éventuel leak)</w:t>
      </w:r>
    </w:p>
    <w:p>
      <w:pPr>
        <w:pStyle w:val="Heading3"/>
      </w:pPr>
      <w:r>
        <w:t>Recalcul serveur</w:t>
      </w:r>
    </w:p>
    <w:p>
      <w:pPr>
        <w:pStyle w:val="ListBullet"/>
        <w:spacing w:after="60"/>
      </w:pPr>
      <w:r>
        <w:rPr>
          <w:sz w:val="21"/>
        </w:rPr>
        <w:t>create-booking ne fait jamais confiance au total_price envoyé par le client</w:t>
      </w:r>
    </w:p>
    <w:p>
      <w:pPr>
        <w:pStyle w:val="ListBullet"/>
        <w:spacing w:after="60"/>
      </w:pPr>
      <w:r>
        <w:rPr>
          <w:sz w:val="21"/>
        </w:rPr>
        <w:t>Nombre de jours recalculé depuis pickupTime/dropoffTime, pas seulement les dates</w:t>
      </w:r>
    </w:p>
    <w:p>
      <w:pPr>
        <w:pStyle w:val="ListBullet"/>
        <w:spacing w:after="60"/>
      </w:pPr>
      <w:r>
        <w:rPr>
          <w:sz w:val="21"/>
        </w:rPr>
        <w:t>Prix unitaire repris de la signature vérifiée, pas du formulaire</w:t>
      </w:r>
    </w:p>
    <w:p>
      <w:pPr>
        <w:pStyle w:val="Heading3"/>
      </w:pPr>
      <w:r>
        <w:t>Majoration</w:t>
      </w:r>
    </w:p>
    <w:p>
      <w:pPr>
        <w:pStyle w:val="ListBullet"/>
        <w:spacing w:after="60"/>
      </w:pPr>
      <w:r>
        <w:rPr>
          <w:sz w:val="21"/>
        </w:rPr>
        <w:t>+8 % (RETAIL_MARKUP_PERCENTAGE) sur les résultats API</w:t>
      </w:r>
    </w:p>
    <w:p>
      <w:pPr>
        <w:pStyle w:val="ListBullet"/>
        <w:spacing w:after="60"/>
      </w:pPr>
      <w:r>
        <w:rPr>
          <w:sz w:val="21"/>
        </w:rPr>
        <w:t>Aucune majoration sur les voitures partenaires (déjà au tarif final défini par l’agence)</w:t>
      </w:r>
    </w:p>
    <w:p>
      <w:pPr>
        <w:pStyle w:val="Heading3"/>
      </w:pPr>
      <w:r>
        <w:t>Accès &amp; débit</w:t>
      </w:r>
    </w:p>
    <w:p>
      <w:pPr>
        <w:pStyle w:val="ListBullet"/>
        <w:spacing w:after="60"/>
      </w:pPr>
      <w:r>
        <w:rPr>
          <w:sz w:val="21"/>
        </w:rPr>
        <w:t>Réservation impossible sans session — vérifiée à l’ouverture du panneau et avant l’envoi</w:t>
      </w:r>
    </w:p>
    <w:p>
      <w:pPr>
        <w:pStyle w:val="ListBullet"/>
        <w:spacing w:after="60"/>
      </w:pPr>
      <w:r>
        <w:rPr>
          <w:sz w:val="21"/>
        </w:rPr>
        <w:t>Limite de recherche : 30 requêtes / minute par IP (préfixe cars)</w:t>
      </w:r>
    </w:p>
    <w:p>
      <w:pPr>
        <w:pStyle w:val="Heading1"/>
      </w:pPr>
      <w:r>
        <w:t>09 — Agences partenaires</w:t>
      </w:r>
    </w:p>
    <w:p>
      <w:pPr>
        <w:spacing w:after="120"/>
      </w:pPr>
      <w:r>
        <w:rPr>
          <w:b w:val="0"/>
          <w:i w:val="0"/>
          <w:sz w:val="21"/>
        </w:rPr>
        <w:t>Dans l’espace agence (src/pages/agency/AgencyServices.tsx), un partenaire choisit le type « Voiture » et remplit une fiche dédiée, distincte des autres types de services.</w:t>
      </w:r>
    </w:p>
    <w:p>
      <w:pPr>
        <w:pStyle w:val="Heading3"/>
      </w:pPr>
      <w:r>
        <w:t>Caractéristiques du véhicule</w:t>
      </w:r>
    </w:p>
    <w:p>
      <w:pPr>
        <w:pStyle w:val="ListBullet"/>
        <w:spacing w:after="60"/>
      </w:pPr>
      <w:r>
        <w:rPr>
          <w:sz w:val="21"/>
        </w:rPr>
        <w:t>Marque, modèle, catégorie (Mini, Économique, Compacte, Berline, SUV, Luxe, Monospace)</w:t>
      </w:r>
    </w:p>
    <w:p>
      <w:pPr>
        <w:pStyle w:val="ListBullet"/>
        <w:spacing w:after="60"/>
      </w:pPr>
      <w:r>
        <w:rPr>
          <w:sz w:val="21"/>
        </w:rPr>
        <w:t>Année, transmission (Automatique / Manuelle), carburant (Essence, Diesel, Hybride, Électrique)</w:t>
      </w:r>
    </w:p>
    <w:p>
      <w:pPr>
        <w:pStyle w:val="ListBullet"/>
        <w:spacing w:after="60"/>
      </w:pPr>
      <w:r>
        <w:rPr>
          <w:sz w:val="21"/>
        </w:rPr>
        <w:t>Places, portes, bagages</w:t>
      </w:r>
    </w:p>
    <w:p>
      <w:pPr>
        <w:pStyle w:val="ListBullet"/>
        <w:spacing w:after="60"/>
      </w:pPr>
      <w:r>
        <w:rPr>
          <w:sz w:val="21"/>
        </w:rPr>
        <w:t>Kilométrage illimité / annulation gratuite (cases à cocher)</w:t>
      </w:r>
    </w:p>
    <w:p>
      <w:pPr>
        <w:pStyle w:val="Heading3"/>
      </w:pPr>
      <w:r>
        <w:t>Photos requises</w:t>
      </w:r>
    </w:p>
    <w:p>
      <w:pPr>
        <w:pStyle w:val="ListBullet"/>
        <w:spacing w:after="60"/>
      </w:pPr>
      <w:r>
        <w:rPr>
          <w:sz w:val="21"/>
        </w:rPr>
        <w:t>Avant, arrière, gauche, droite</w:t>
      </w:r>
    </w:p>
    <w:p>
      <w:pPr>
        <w:pStyle w:val="ListBullet"/>
        <w:spacing w:after="60"/>
      </w:pPr>
      <w:r>
        <w:rPr>
          <w:sz w:val="21"/>
        </w:rPr>
        <w:t>Intérieur ×2</w:t>
      </w:r>
    </w:p>
    <w:p>
      <w:pPr>
        <w:pStyle w:val="ListBullet"/>
        <w:spacing w:after="60"/>
      </w:pPr>
      <w:r>
        <w:rPr>
          <w:sz w:val="21"/>
        </w:rPr>
        <w:t>Stockées sous le dossier agency-cars ; la 1re photo devient l’image de couverture</w:t>
      </w:r>
    </w:p>
    <w:p>
      <w:pPr>
        <w:spacing w:after="120"/>
      </w:pPr>
      <w:r>
        <w:rPr>
          <w:b w:val="0"/>
          <w:i w:val="0"/>
          <w:sz w:val="21"/>
        </w:rPr>
        <w:t>À l’enregistrement, ces champs sont sérialisés dans specifications (JSONB) et la fiche apparaît ensuite dans les résultats de recherche voiture, marquée provider: "Partenaire" et source: "partner".</w:t>
      </w:r>
    </w:p>
    <w:p>
      <w:pPr>
        <w:pStyle w:val="Heading1"/>
      </w:pPr>
      <w:r>
        <w:t>10 — Alertes de prix</w:t>
      </w:r>
    </w:p>
    <w:p>
      <w:pPr>
        <w:spacing w:after="120"/>
      </w:pPr>
      <w:r>
        <w:rPr>
          <w:b w:val="0"/>
          <w:i w:val="0"/>
          <w:sz w:val="21"/>
        </w:rPr>
        <w:t>CreatePriceAlert.tsx / PriceAlertManager.tsx traitent la voiture comme un type de service au même titre que le vol et l’hôtel (serviceType: ’flight’ | ’hotel’ | ’car’) — un utilisateur peut donc demander à être notifié si le prix d’une location baisse.</w:t>
      </w:r>
    </w:p>
    <w:p>
      <w:pPr>
        <w:pStyle w:val="Heading1"/>
      </w:pPr>
      <w:r>
        <w:t>11 — État de configuration</w:t>
      </w:r>
    </w:p>
    <w:p>
      <w:pPr>
        <w:spacing w:after="120"/>
      </w:pPr>
      <w:r>
        <w:rPr>
          <w:b w:val="0"/>
          <w:i w:val="0"/>
          <w:sz w:val="21"/>
        </w:rPr>
        <w:t>Relevé via supabase secrets list le 09 septembre 2026.</w:t>
      </w:r>
    </w:p>
    <w:p>
      <w:pPr>
        <w:pStyle w:val="Heading3"/>
      </w:pPr>
      <w:r>
        <w:t>Secrets définis</w:t>
      </w:r>
    </w:p>
    <w:p>
      <w:pPr>
        <w:pStyle w:val="ListBullet"/>
        <w:spacing w:after="60"/>
      </w:pPr>
      <w:r>
        <w:rPr>
          <w:sz w:val="21"/>
        </w:rPr>
        <w:t>PRICE_SIGNING_SECRET — signature des offres opérationnelle</w:t>
      </w:r>
    </w:p>
    <w:p>
      <w:pPr>
        <w:pStyle w:val="ListBullet"/>
        <w:spacing w:after="60"/>
      </w:pPr>
      <w:r>
        <w:rPr>
          <w:sz w:val="21"/>
        </w:rPr>
        <w:t>SUPABASE_URL / SUPABASE_ANON_KEY / SUPABASE_SERVICE_ROLE_KEY</w:t>
      </w:r>
    </w:p>
    <w:p>
      <w:pPr>
        <w:pStyle w:val="Heading3"/>
      </w:pPr>
      <w:r>
        <w:t>Secrets absents</w:t>
      </w:r>
    </w:p>
    <w:p>
      <w:pPr>
        <w:pStyle w:val="ListBullet"/>
        <w:spacing w:after="60"/>
      </w:pPr>
      <w:r>
        <w:rPr>
          <w:sz w:val="21"/>
        </w:rPr>
        <w:t>RAPIDAPI_KEY, KAYAK_RAPIDAPI_KEY, KAYAK_RAPIDAPI_HOST — plus lus par car-rental depuis le 10/09/2026, peuvent rester absents sans impact.</w:t>
      </w:r>
    </w:p>
    <w:p>
      <w:pPr>
        <w:spacing w:after="40"/>
      </w:pPr>
      <w:r>
        <w:rPr>
          <w:b/>
          <w:i w:val="0"/>
          <w:color w:val="A15C00"/>
          <w:sz w:val="21"/>
        </w:rPr>
        <w:t>Conséquence directe :</w:t>
      </w:r>
    </w:p>
    <w:p>
      <w:pPr>
        <w:spacing w:after="120"/>
      </w:pPr>
      <w:r>
        <w:rPr>
          <w:b w:val="0"/>
          <w:i w:val="0"/>
          <w:sz w:val="21"/>
        </w:rPr>
        <w:t>En production actuelle, toute recherche renvoie le catalogue de secours (mock) fusionné avec les véhicules partenaires réels — jamais de résultats des 5 API tierces. L’expérience et le parcours de réservation fonctionnent de bout en bout, mais les véhicules/prix affichés hors partenaires sont fictifs.</w:t>
      </w:r>
    </w:p>
    <w:p>
      <w:pPr>
        <w:pStyle w:val="Heading1"/>
      </w:pPr>
      <w:r>
        <w:t>12 — Points d’attention</w:t>
      </w:r>
    </w:p>
    <w:tbl>
      <w:tblPr>
        <w:tblStyle w:val="TableGrid"/>
        <w:tblW w:type="auto" w:w="0"/>
        <w:jc w:val="center"/>
        <w:tblLook w:firstColumn="1" w:firstRow="1" w:lastColumn="0" w:lastRow="0" w:noHBand="0" w:noVBand="1" w:val="04A0"/>
      </w:tblPr>
      <w:tblGrid>
        <w:gridCol w:w="4873"/>
        <w:gridCol w:w="4873"/>
      </w:tblGrid>
      <w:tr>
        <w:tc>
          <w:tcPr>
            <w:tcW w:type="dxa" w:w="4873"/>
            <w:shd w:fill="192342"/>
          </w:tcPr>
          <w:p>
            <w:r/>
            <w:r>
              <w:rPr>
                <w:b/>
                <w:color w:val="FFFFFF"/>
                <w:sz w:val="19"/>
              </w:rPr>
              <w:t>Sujet</w:t>
            </w:r>
          </w:p>
        </w:tc>
        <w:tc>
          <w:tcPr>
            <w:tcW w:type="dxa" w:w="4873"/>
            <w:shd w:fill="192342"/>
          </w:tcPr>
          <w:p>
            <w:r/>
            <w:r>
              <w:rPr>
                <w:b/>
                <w:color w:val="FFFFFF"/>
                <w:sz w:val="19"/>
              </w:rPr>
              <w:t>Détail</w:t>
            </w:r>
          </w:p>
        </w:tc>
      </w:tr>
      <w:tr>
        <w:tc>
          <w:tcPr>
            <w:tcW w:type="dxa" w:w="4873"/>
          </w:tcPr>
          <w:p>
            <w:r/>
            <w:r>
              <w:rPr>
                <w:sz w:val="19"/>
              </w:rPr>
              <w:t>Couverture géographique</w:t>
            </w:r>
          </w:p>
        </w:tc>
        <w:tc>
          <w:tcPr>
            <w:tcW w:type="dxa" w:w="4873"/>
          </w:tcPr>
          <w:p>
            <w:r/>
            <w:r>
              <w:rPr>
                <w:sz w:val="19"/>
              </w:rPr>
              <w:t>Les résultats dépendent entièrement du nombre d’agences partenaires actives par ville — sans partenaire à Lyon, une recherche y renvoie une liste vide, correct mais pouvant surprendre tant que le réseau de partenaires est jeune.</w:t>
            </w:r>
          </w:p>
        </w:tc>
      </w:tr>
      <w:tr>
        <w:tc>
          <w:tcPr>
            <w:tcW w:type="dxa" w:w="4873"/>
          </w:tcPr>
          <w:p>
            <w:r/>
            <w:r>
              <w:rPr>
                <w:sz w:val="19"/>
              </w:rPr>
              <w:t>Dépendance image</w:t>
            </w:r>
          </w:p>
        </w:tc>
        <w:tc>
          <w:tcPr>
            <w:tcW w:type="dxa" w:w="4873"/>
          </w:tcPr>
          <w:p>
            <w:r/>
            <w:r>
              <w:rPr>
                <w:sz w:val="19"/>
              </w:rPr>
              <w:t>getCarImage() dépend d’imagin.studio (service tiers gratuit) ; en cas d’échec, repli sur une image de catégorie Unsplash côté serveur, puis un placeholder générique côté client.</w:t>
            </w:r>
          </w:p>
        </w:tc>
      </w:tr>
    </w:tbl>
    <w:p>
      <w:pPr>
        <w:spacing w:after="80"/>
      </w:pPr>
    </w:p>
    <w:p>
      <w:pPr>
        <w:pStyle w:val="Heading1"/>
      </w:pPr>
      <w:r>
        <w:t>13 — Forfaits partenaires</w:t>
      </w:r>
    </w:p>
    <w:p>
      <w:pPr>
        <w:spacing w:after="120"/>
      </w:pPr>
      <w:r>
        <w:rPr>
          <w:b w:val="0"/>
          <w:i w:val="0"/>
          <w:sz w:val="21"/>
        </w:rPr>
        <w:t>Ajouté le 09 septembre 2026. Une agence n’a plus un unique taux de commission fixe : elle souscrit à un forfait qui fixe son plafond de véhicules, sa commission et ses avantages de visibilité. Table car_partner_plans, migration 20260909120000_create_car_partner_plans.sql (exécutée manuellement, écrite de façon idempotente).</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fill="192342"/>
          </w:tcPr>
          <w:p>
            <w:r/>
            <w:r>
              <w:rPr>
                <w:b/>
                <w:color w:val="FFFFFF"/>
                <w:sz w:val="19"/>
              </w:rPr>
              <w:t>Forfait</w:t>
            </w:r>
          </w:p>
        </w:tc>
        <w:tc>
          <w:tcPr>
            <w:tcW w:type="dxa" w:w="1949"/>
            <w:shd w:fill="192342"/>
          </w:tcPr>
          <w:p>
            <w:r/>
            <w:r>
              <w:rPr>
                <w:b/>
                <w:color w:val="FFFFFF"/>
                <w:sz w:val="19"/>
              </w:rPr>
              <w:t>Prix / mois</w:t>
            </w:r>
          </w:p>
        </w:tc>
        <w:tc>
          <w:tcPr>
            <w:tcW w:type="dxa" w:w="1949"/>
            <w:shd w:fill="192342"/>
          </w:tcPr>
          <w:p>
            <w:r/>
            <w:r>
              <w:rPr>
                <w:b/>
                <w:color w:val="FFFFFF"/>
                <w:sz w:val="19"/>
              </w:rPr>
              <w:t>Commission</w:t>
            </w:r>
          </w:p>
        </w:tc>
        <w:tc>
          <w:tcPr>
            <w:tcW w:type="dxa" w:w="1949"/>
            <w:shd w:fill="192342"/>
          </w:tcPr>
          <w:p>
            <w:r/>
            <w:r>
              <w:rPr>
                <w:b/>
                <w:color w:val="FFFFFF"/>
                <w:sz w:val="19"/>
              </w:rPr>
              <w:t>Véhicules</w:t>
            </w:r>
          </w:p>
        </w:tc>
        <w:tc>
          <w:tcPr>
            <w:tcW w:type="dxa" w:w="1949"/>
            <w:shd w:fill="192342"/>
          </w:tcPr>
          <w:p>
            <w:r/>
            <w:r>
              <w:rPr>
                <w:b/>
                <w:color w:val="FFFFFF"/>
                <w:sz w:val="19"/>
              </w:rPr>
              <w:t>Mises en avant</w:t>
            </w:r>
          </w:p>
        </w:tc>
      </w:tr>
      <w:tr>
        <w:tc>
          <w:tcPr>
            <w:tcW w:type="dxa" w:w="1949"/>
          </w:tcPr>
          <w:p>
            <w:r/>
            <w:r>
              <w:rPr>
                <w:sz w:val="19"/>
              </w:rPr>
              <w:t>Découverte</w:t>
            </w:r>
          </w:p>
        </w:tc>
        <w:tc>
          <w:tcPr>
            <w:tcW w:type="dxa" w:w="1949"/>
          </w:tcPr>
          <w:p>
            <w:r/>
            <w:r>
              <w:rPr>
                <w:sz w:val="19"/>
              </w:rPr>
              <w:t>Gratuit</w:t>
            </w:r>
          </w:p>
        </w:tc>
        <w:tc>
          <w:tcPr>
            <w:tcW w:type="dxa" w:w="1949"/>
          </w:tcPr>
          <w:p>
            <w:r/>
            <w:r>
              <w:rPr>
                <w:sz w:val="19"/>
              </w:rPr>
              <w:t>12%</w:t>
            </w:r>
          </w:p>
        </w:tc>
        <w:tc>
          <w:tcPr>
            <w:tcW w:type="dxa" w:w="1949"/>
          </w:tcPr>
          <w:p>
            <w:r/>
            <w:r>
              <w:rPr>
                <w:sz w:val="19"/>
              </w:rPr>
              <w:t>3</w:t>
            </w:r>
          </w:p>
        </w:tc>
        <w:tc>
          <w:tcPr>
            <w:tcW w:type="dxa" w:w="1949"/>
          </w:tcPr>
          <w:p>
            <w:r/>
            <w:r>
              <w:rPr>
                <w:sz w:val="19"/>
              </w:rPr>
              <w:t>0 / mois</w:t>
            </w:r>
          </w:p>
        </w:tc>
      </w:tr>
      <w:tr>
        <w:tc>
          <w:tcPr>
            <w:tcW w:type="dxa" w:w="1949"/>
          </w:tcPr>
          <w:p>
            <w:r/>
            <w:r>
              <w:rPr>
                <w:sz w:val="19"/>
              </w:rPr>
              <w:t>Pro</w:t>
            </w:r>
          </w:p>
        </w:tc>
        <w:tc>
          <w:tcPr>
            <w:tcW w:type="dxa" w:w="1949"/>
          </w:tcPr>
          <w:p>
            <w:r/>
            <w:r>
              <w:rPr>
                <w:sz w:val="19"/>
              </w:rPr>
              <w:t>25 000 XOF</w:t>
            </w:r>
          </w:p>
        </w:tc>
        <w:tc>
          <w:tcPr>
            <w:tcW w:type="dxa" w:w="1949"/>
          </w:tcPr>
          <w:p>
            <w:r/>
            <w:r>
              <w:rPr>
                <w:sz w:val="19"/>
              </w:rPr>
              <w:t>8%</w:t>
            </w:r>
          </w:p>
        </w:tc>
        <w:tc>
          <w:tcPr>
            <w:tcW w:type="dxa" w:w="1949"/>
          </w:tcPr>
          <w:p>
            <w:r/>
            <w:r>
              <w:rPr>
                <w:sz w:val="19"/>
              </w:rPr>
              <w:t>15</w:t>
            </w:r>
          </w:p>
        </w:tc>
        <w:tc>
          <w:tcPr>
            <w:tcW w:type="dxa" w:w="1949"/>
          </w:tcPr>
          <w:p>
            <w:r/>
            <w:r>
              <w:rPr>
                <w:sz w:val="19"/>
              </w:rPr>
              <w:t>2 / mois</w:t>
            </w:r>
          </w:p>
        </w:tc>
      </w:tr>
      <w:tr>
        <w:tc>
          <w:tcPr>
            <w:tcW w:type="dxa" w:w="1949"/>
          </w:tcPr>
          <w:p>
            <w:r/>
            <w:r>
              <w:rPr>
                <w:sz w:val="19"/>
              </w:rPr>
              <w:t>Flotte</w:t>
            </w:r>
          </w:p>
        </w:tc>
        <w:tc>
          <w:tcPr>
            <w:tcW w:type="dxa" w:w="1949"/>
          </w:tcPr>
          <w:p>
            <w:r/>
            <w:r>
              <w:rPr>
                <w:sz w:val="19"/>
              </w:rPr>
              <w:t>60 000 XOF</w:t>
            </w:r>
          </w:p>
        </w:tc>
        <w:tc>
          <w:tcPr>
            <w:tcW w:type="dxa" w:w="1949"/>
          </w:tcPr>
          <w:p>
            <w:r/>
            <w:r>
              <w:rPr>
                <w:sz w:val="19"/>
              </w:rPr>
              <w:t>5%</w:t>
            </w:r>
          </w:p>
        </w:tc>
        <w:tc>
          <w:tcPr>
            <w:tcW w:type="dxa" w:w="1949"/>
          </w:tcPr>
          <w:p>
            <w:r/>
            <w:r>
              <w:rPr>
                <w:sz w:val="19"/>
              </w:rPr>
              <w:t>Illimité</w:t>
            </w:r>
          </w:p>
        </w:tc>
        <w:tc>
          <w:tcPr>
            <w:tcW w:type="dxa" w:w="1949"/>
          </w:tcPr>
          <w:p>
            <w:r/>
            <w:r>
              <w:rPr>
                <w:sz w:val="19"/>
              </w:rPr>
              <w:t>10 / mois</w:t>
            </w:r>
          </w:p>
        </w:tc>
      </w:tr>
    </w:tbl>
    <w:p>
      <w:pPr>
        <w:spacing w:after="80"/>
      </w:pPr>
    </w:p>
    <w:p>
      <w:pPr>
        <w:spacing w:after="120"/>
      </w:pPr>
      <w:r>
        <w:rPr>
          <w:b w:val="0"/>
          <w:i/>
          <w:color w:val="4A5170"/>
          <w:sz w:val="19"/>
        </w:rPr>
        <w:t>Tarifs annuels avec -17 % de remise. Prix et paliers modifiables directement dans car_partner_plans.</w:t>
      </w:r>
    </w:p>
    <w:p>
      <w:pPr>
        <w:pStyle w:val="Heading3"/>
      </w:pPr>
      <w:r>
        <w:t>Flux</w:t>
      </w:r>
    </w:p>
    <w:p>
      <w:pPr>
        <w:pStyle w:val="ListBullet"/>
        <w:spacing w:after="60"/>
      </w:pPr>
      <w:r>
        <w:rPr>
          <w:sz w:val="21"/>
        </w:rPr>
        <w:t>Page publique des forfaits (pages/CarPartnerPlans.tsx · /partenaires/voitures) — bascule mensuel/annuel, chaque carte renvoie vers /devenir-partenaire?plan=&lt;plan_id&gt;.</w:t>
      </w:r>
    </w:p>
    <w:p>
      <w:pPr>
        <w:pStyle w:val="ListBullet"/>
        <w:spacing w:after="60"/>
      </w:pPr>
      <w:r>
        <w:rPr>
          <w:sz w:val="21"/>
        </w:rPr>
        <w:t>Candidature (pages/BecomePartner.tsx) — le forfait choisi est affiché en badge et enregistré dans partner_applications.requested_car_plan_id.</w:t>
      </w:r>
    </w:p>
    <w:p>
      <w:pPr>
        <w:pStyle w:val="ListBullet"/>
        <w:spacing w:after="60"/>
      </w:pPr>
      <w:r>
        <w:rPr>
          <w:sz w:val="21"/>
        </w:rPr>
        <w:t>Validation admin (admin/AdminPartnerApplications.tsx · admin/AdminAgencies.tsx) — le forfait demandé apparaît dans la liste des candidatures ; à la création de l’agence, un sélecteur ajuste automatiquement le taux de commission.</w:t>
      </w:r>
    </w:p>
    <w:p>
      <w:pPr>
        <w:pStyle w:val="ListBullet"/>
        <w:spacing w:after="60"/>
      </w:pPr>
      <w:r>
        <w:rPr>
          <w:sz w:val="21"/>
        </w:rPr>
        <w:t>Application du quota (agency/AgencyServices.tsx) — badge « Forfait X · n/max véhicules » ; au-delà du plafond, la création d’un nouveau véhicule est bloquée.</w:t>
      </w:r>
    </w:p>
    <w:p>
      <w:pPr>
        <w:spacing w:after="40"/>
      </w:pPr>
      <w:r>
        <w:rPr>
          <w:b/>
          <w:i w:val="0"/>
          <w:color w:val="037A4C"/>
          <w:sz w:val="21"/>
        </w:rPr>
        <w:t>Rétrocompatibilité :</w:t>
      </w:r>
    </w:p>
    <w:p>
      <w:pPr>
        <w:spacing w:after="120"/>
      </w:pPr>
      <w:r>
        <w:rPr>
          <w:b w:val="0"/>
          <w:i w:val="0"/>
          <w:sz w:val="21"/>
        </w:rPr>
        <w:t>Une agence sans car_plan_id (toutes les agences existantes avant cette migration) n’est soumise à aucun plafond — le quota n’est appliqué que si un forfait est explicitement assigné.</w:t>
      </w:r>
    </w:p>
    <w:p>
      <w:pPr>
        <w:spacing w:after="40"/>
      </w:pPr>
      <w:r>
        <w:rPr>
          <w:b/>
          <w:i w:val="0"/>
          <w:color w:val="A15C00"/>
          <w:sz w:val="21"/>
        </w:rPr>
        <w:t>Non couvert par cette version :</w:t>
      </w:r>
    </w:p>
    <w:p>
      <w:pPr>
        <w:spacing w:after="120"/>
      </w:pPr>
      <w:r>
        <w:rPr>
          <w:b w:val="0"/>
          <w:i w:val="0"/>
          <w:sz w:val="21"/>
        </w:rPr>
        <w:t>Le choix d’un forfait payant ne déclenche aucun paiement ni webhook automatique — l’activation reste une étape manuelle de l’admin. Il n’y a pas non plus de page dédiée pour qu’une agence change elle-même de forfait depuis son espace.</w:t>
      </w:r>
    </w:p>
    <w:p>
      <w:pPr>
        <w:pStyle w:val="Heading1"/>
      </w:pPr>
      <w:r>
        <w:t>14 — Paiement, facture &amp; commission</w:t>
      </w:r>
    </w:p>
    <w:p>
      <w:pPr>
        <w:spacing w:after="120"/>
      </w:pPr>
      <w:r>
        <w:rPr>
          <w:b w:val="0"/>
          <w:i w:val="0"/>
          <w:sz w:val="21"/>
        </w:rPr>
        <w:t>Audité le 10 septembre 2026 en tracant le code reel (aucun paiement live execute - pas d’identifiants CinetPay de test disponibles dans cet environnement). Deux bugs bloquants ont ete trouves et corriges le jour meme.</w:t>
      </w:r>
    </w:p>
    <w:p>
      <w:pPr>
        <w:pStyle w:val="Heading3"/>
      </w:pPr>
      <w:r>
        <w:t>Circuit</w:t>
      </w:r>
    </w:p>
    <w:p>
      <w:pPr>
        <w:pStyle w:val="ListBullet"/>
        <w:spacing w:after="60"/>
      </w:pPr>
      <w:r>
        <w:rPr>
          <w:sz w:val="21"/>
        </w:rPr>
        <w:t>Initiation (process-payment) : montant relu depuis bookings.total_price cote serveur, verrou anti double-clic, appel CinetPay.</w:t>
      </w:r>
    </w:p>
    <w:p>
      <w:pPr>
        <w:pStyle w:val="ListBullet"/>
        <w:spacing w:after="60"/>
      </w:pPr>
      <w:r>
        <w:rPr>
          <w:sz w:val="21"/>
        </w:rPr>
        <w:t>Confirmation (payment-callback) : revérifie le statut directement aupres de CinetPay (/v2/payment/check), pas seulement le webhook.</w:t>
      </w:r>
    </w:p>
    <w:p>
      <w:pPr>
        <w:pStyle w:val="ListBullet"/>
        <w:spacing w:after="60"/>
      </w:pPr>
      <w:r>
        <w:rPr>
          <w:sz w:val="21"/>
        </w:rPr>
        <w:t>Commission agence (_shared/postPaymentSuccess.ts) — AJOUTE le 10/09/2026 : si le service a un agency_id, une ligne commissions est creee automatiquement (total_price x commission_rate de l’agence), statut pending.</w:t>
      </w:r>
    </w:p>
    <w:p>
      <w:pPr>
        <w:pStyle w:val="ListBullet"/>
        <w:spacing w:after="60"/>
      </w:pPr>
      <w:r>
        <w:rPr>
          <w:sz w:val="21"/>
        </w:rPr>
        <w:t>Facture client (generate-invoice) — CORRIGE le 10/09/2026 : ecrit desormais dans les vraies colonnes de invoices, liee a la reservation via la nouvelle colonne invoices.booking_id (migration 20260910090000).</w:t>
      </w:r>
    </w:p>
    <w:p>
      <w:pPr>
        <w:spacing w:after="40"/>
      </w:pPr>
      <w:r>
        <w:rPr>
          <w:b/>
          <w:i w:val="0"/>
          <w:color w:val="B3261E"/>
          <w:sz w:val="21"/>
        </w:rPr>
        <w:t>Bug corrigé — aucune facture n’a jamais été créée :</w:t>
      </w:r>
    </w:p>
    <w:p>
      <w:pPr>
        <w:spacing w:after="120"/>
      </w:pPr>
      <w:r>
        <w:rPr>
          <w:b w:val="0"/>
          <w:i w:val="0"/>
          <w:sz w:val="21"/>
        </w:rPr>
        <w:t>generate-invoice écrivait dans des colonnes inexistantes (booking_id, invoice_data, issued_at, due_at — confirmé en comparant au schéma réel généré dans types.ts). L’insertion échouait à chaque appel, l’erreur étant avalée par un .catch() silencieux. Un second bug ajoutait 10% de TVA au total facturé alors que process-payment ne débite jamais que total_price — la facture ne correspondait pas au paiement réel.</w:t>
      </w:r>
    </w:p>
    <w:p>
      <w:pPr>
        <w:spacing w:after="40"/>
      </w:pPr>
      <w:r>
        <w:rPr>
          <w:b/>
          <w:i w:val="0"/>
          <w:color w:val="B3261E"/>
          <w:sz w:val="21"/>
        </w:rPr>
        <w:t>Bug corrigé — les commissions n’étaient jamais calculées :</w:t>
      </w:r>
    </w:p>
    <w:p>
      <w:pPr>
        <w:spacing w:after="120"/>
      </w:pPr>
      <w:r>
        <w:rPr>
          <w:b w:val="0"/>
          <w:i w:val="0"/>
          <w:sz w:val="21"/>
        </w:rPr>
        <w:t>Recherche de "commission" dans tout supabase/functions : aucune fonction ni trigger n’insérait de ligne dans commissions. /admin/commissions ne pouvait que lire/marquer "payée" des lignes qui n’étaient jamais créées. Un second bug latent aurait aggravé la situation : create-booking recalculait le prix via price_per_unit x guests (guests toujours à 1 pour une voiture) au lieu du prix signé x nombre de jours — un loueur multi-jours aurait été facturé comme une seule journée. Corrigé en même temps (CarBookingDialog.tsx envoie desormais service_id: car.id uniquement quand car.source === "partner").</w:t>
      </w:r>
    </w:p>
    <w:p>
      <w:pPr>
        <w:spacing w:after="40"/>
      </w:pPr>
      <w:r>
        <w:rPr>
          <w:b/>
          <w:i w:val="0"/>
          <w:color w:val="A15C00"/>
          <w:sz w:val="21"/>
        </w:rPr>
        <w:t>Délai de reversement — décision produit (10/09/2026) :</w:t>
      </w:r>
    </w:p>
    <w:p>
      <w:pPr>
        <w:spacing w:after="120"/>
      </w:pPr>
      <w:r>
        <w:rPr>
          <w:b w:val="0"/>
          <w:i w:val="0"/>
          <w:sz w:val="21"/>
        </w:rPr>
        <w:t>Aucun délai automatique : la ligne commissions est créée en pending dès le paiement confirmé, et reste ainsi jusqu’à ce qu’un admin clique "Marquer payée" dans /admin/commissions après avoir réellement viré l’argent à l’agence. Aucune SLA n’est appliquée ni affichée au partenaire.</w:t>
      </w:r>
    </w:p>
    <w:p>
      <w:pPr>
        <w:spacing w:before="80" w:after="80"/>
        <w:pBdr>
          <w:bottom w:val="single" w:sz="6" w:space="1" w:color="DDE1EA"/>
        </w:pBdr>
      </w:pPr>
    </w:p>
    <w:p>
      <w:r>
        <w:rPr>
          <w:i/>
          <w:color w:val="7B819C"/>
          <w:sz w:val="17"/>
        </w:rPr>
        <w:t>Documentation générée à partir du code source du dépôt (branche prod) le 10 septembre 2026.</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92342"/>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92342"/>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9234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