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CAPACITAÇÃO DA EQUIPE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CAP-AASPCNJ01-001   ·   Versão 1.1   ·   17/06/2026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CAP-AASPCNJ01-001 — Registro de Capacitação da Equipe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17/06/2026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 composição da equipe e as práticas de transferência de conhecimento adotadas ao longo do projeto, em especial a integração de um desenvolvedor de suporte e a disseminação do fluxo da nova arquitetura de captura.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Equipe alocada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Membro (papel)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de atuação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— Gerente de Projeto / Tech Lead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— Arquiteto de Software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 – Mar/2026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1, 2, 3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— Desenvolvedor Sênior (Principal)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2, 3, 4, 5, 6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Levi Santos — Desenvolvedor (Suporte)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4, 5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 — Analista de Testes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David — Infraestrutura /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Jan/2026 e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1, 6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Integração formal de membro ao time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Em abril/2026, um desenvolvedor de suporte foi incorporado para auxiliar o Desenvolvedor Sênior (Raony Chagas) nas atividades de maior volume da integração CNJ. A integração foi conduzida na reunião de alinhamento de 07/04/2026 (ATA-AASPCNJ01-001), na qual foram apresentados o funcionamento da API DataJud, a lógica de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, os mecanismos de fallback e o modelo de gravação no Elasticsearch.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Práticas de transferência de conhecimento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Prática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de código (code review)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nas integrações de branches no GitLab, garantindo ciência das mudanças por todo o time (ver REV-AASPCNJ01-001)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periódicas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Estado do projeto e decisões técnicas compartilhados e registrados no GitLab (issues e board)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técnica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Coleções Postman da API CNJ e registros de banco disponibilizados no GitLab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Continuidade durante férias do GP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específico para garantir autonomia do time no período de ausência do gestor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Observações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equipe já atuava com as tecnologias core (.NET, GitLab, RabbitMQ, Elasticsearch), dispensando treinamento formal específico. As ações de preparo focaram no contexto da nova arquitetura de captura (DataJud/CNJ e fallback). O Plano de Capacitação Organizacional aplicável está registrado em PLA-CAP-001.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capacitação da equipe consolidado a partir do Registro de Projeto AASP_CNJ v1.0 (08/06/2026).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17/06/2026</w:t>
            </w:r>
          </w:p>
        </w:tc>
        <w:tc>
          <w:tcPr>
            <w:tcW w:type="dxa" w:w="2225"/>
          </w:tcPr>
          <w:p>
            <w:r>
              <w:t>Gerente de Projeto</w:t>
            </w:r>
          </w:p>
        </w:tc>
        <w:tc>
          <w:tcPr>
            <w:tcW w:type="dxa" w:w="2225"/>
          </w:tcPr>
          <w:p>
            <w:r>
              <w:t>Plataforma de versionamento corrigida (Azure DevOps → GitLab).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Revisão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