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GARANTIA DA QUALIDADE — SUPERAPP FRUKI · FORÇA DE VENDAS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GQA-FRUKI01-001   ·   Versão 1.2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GQA-FRUKI01-001 — Registro de Garantia da Qualidade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Força de Vendas (Pacote 1 + Pacote Final 24)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auditorias de qualidade realizadas ao longo do projeto SuperApp Fruki, verificando a aderência ao processo definido e a conformidade dos artefatos produzidos com os padrões estabelecidos pelo MPS-SW Nível C.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Auditoria de aderência ao processo</w:t>
      </w:r>
    </w:p>
    <w:p>
      <w:pPr>
        <w:pStyle w:val="Heading2"/>
        <w:keepNext/>
        <w:keepLines/>
      </w:pPr>
      <w:r>
        <w:t>2.1 Pacote 1 — Módulo Metas e Remuneração Variável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Data da auditoria:</w:t>
      </w:r>
      <w:r>
        <w:rPr>
          <w:rFonts w:ascii="Calibri" w:hAnsi="Calibri"/>
          <w:b w:val="0"/>
          <w:i w:val="0"/>
          <w:sz w:val="22"/>
        </w:rPr>
        <w:t xml:space="preserve"> 05/06/2026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Auditado por:</w:t>
      </w:r>
      <w:r>
        <w:rPr>
          <w:rFonts w:ascii="Calibri" w:hAnsi="Calibri"/>
          <w:b w:val="0"/>
          <w:i w:val="0"/>
          <w:sz w:val="22"/>
        </w:rPr>
        <w:t xml:space="preserve"> COO (Operações)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 auditado:</w:t>
      </w:r>
      <w:r>
        <w:rPr>
          <w:rFonts w:ascii="Calibri" w:hAnsi="Calibri"/>
          <w:b w:val="0"/>
          <w:i w:val="0"/>
          <w:sz w:val="22"/>
        </w:rPr>
        <w:t xml:space="preserve"> 05/06/2025 – Set/2025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elaborado antes do início das atividades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TAP-FRUKI01-001 v1.1 — abertura em 05/06/2025; ata de kickoff registrada em ATA-FRUKI01-001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e rastreáveis antes do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REQ-FRUKI01-001 v1.1 — levantamento em 25/06/2025; ata ATA-FRUKI01-002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do processo formalizado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ADAP-FRUKI01-001 v1.1 — adaptações justificadas; ITP e GDE referenciados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documentado e aprovado pelo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PLA-FRUKI01-001 v1.1 — aprovado em 05/06/2025; ref. ATA-FRUKI01-001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técnico e de UX documentado antes da construção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PCP-FRUKI01-001 v1.0 — protótipos validados por Cecília antes das sprints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documentada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ITP-FRUKI01-001 v1.0 — 4 APIs REST Fruki; estratégia incremental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definido e executado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VV-FRUKI01-001 v1.0 — cenários Gherkin executados; piloto 05/08/2025 (ATA-FRUKI01-007)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mantida entre requisitos, design e verificação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RASTR-FRUKI01-001 v1.0 — cobertura total RF-01 a RF-04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realizada antes do merge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 revisada e aprovada por Jardel Dargas Silva (Fruki) antes do merge na 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de decisão registrada para decisões arquiteturais relevantes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 v1.0 — Decisão 1: normalização de dados no front-end (impacta Pacote 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do projeto registrado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RAC-FRUKI01-002 v1.0 — relatório de encerramento do Pacote 1 (Set/2025)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Papéis e responsabilidades seguidos conforme 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GP: Abraão Oliveira; UX/analista: Brenda Chrystie; devs: Luca Watson e Thiago Gomes; GQA: COO (Operações)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realizado com aceite do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TAE-FRUKI01-001 v1.0 + aceite de Leandro Lottermann (Set/2025)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Pacote 1:</w:t>
      </w:r>
      <w:r>
        <w:rPr>
          <w:rFonts w:ascii="Calibri" w:hAnsi="Calibri"/>
          <w:b w:val="0"/>
          <w:i w:val="0"/>
          <w:sz w:val="22"/>
        </w:rPr>
        <w:t xml:space="preserve"> Sem não conformidades.</w:t>
      </w:r>
    </w:p>
    <w:p>
      <w:pPr>
        <w:pStyle w:val="Heading2"/>
        <w:keepNext/>
        <w:keepLines/>
      </w:pPr>
      <w:r>
        <w:t>2.2 Pacote Final 24 — Pedidos Não Alocados · Regra de Ouro · PDV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Data da auditoria:</w:t>
      </w:r>
      <w:r>
        <w:rPr>
          <w:rFonts w:ascii="Calibri" w:hAnsi="Calibri"/>
          <w:b w:val="0"/>
          <w:i w:val="0"/>
          <w:sz w:val="22"/>
        </w:rPr>
        <w:t xml:space="preserve"> 05/06/2026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Auditado por:</w:t>
      </w:r>
      <w:r>
        <w:rPr>
          <w:rFonts w:ascii="Calibri" w:hAnsi="Calibri"/>
          <w:b w:val="0"/>
          <w:i w:val="0"/>
          <w:sz w:val="22"/>
        </w:rPr>
        <w:t xml:space="preserve"> COO (Operações)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 auditado:</w:t>
      </w:r>
      <w:r>
        <w:rPr>
          <w:rFonts w:ascii="Calibri" w:hAnsi="Calibri"/>
          <w:b w:val="0"/>
          <w:i w:val="0"/>
          <w:sz w:val="22"/>
        </w:rPr>
        <w:t xml:space="preserve"> 09/10/2025 – 15/01/2026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elaborado antes do início das atividades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TAP-FRUKI01-002 v1.1 — abertura em 09/10/2025; ata de kickoff registrada em ATA-FRUKI01-008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kickoff registrada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ATA-FRUKI01-008 v1.0 — kickoff e aprovação do plano em 09/10/2025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e rastreáveis antes do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REQ-FRUKI01-002 v1.0 — 10 RF e 5 RNF levantados antes de cada sprint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do processo formalizado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ADAP-FRUKI01-002 v1.1 — ITP-002 e GDE-001 referenciados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documentado e aprovado pelo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PLA-FRUKI01-002 v1.0 — aprovado em 09/10/2025; ref. ATA-FRUKI01-008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técnico e de UX documentado antes da construção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PCP-FRUKI01-002 v1.0 — protótipos por módulo validados antes de cada sprint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documentada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ITP-FRUKI01-002 v1.0 — 3 módulos × APIs; estratégia de mock para API atrasada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definido e executado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VV-FRUKI01-002 v1.0 — cenários Gherkin por sprint; aceite final 15/01/2026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mantida entre requisitos, design e verificação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RASTR-FRUKI01-002 v1.0 — cobertura total RF-05 a RF-14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realizada antes do merge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PRs revisadas e aprovadas por Jardel: PR #57 (25/10/2025), PR Regra de Ouro (Nov/2025), PR PDV (Jan/2026)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de decisão registrada para decisões arquiteturais relevantes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 — Decisão 2: renomeação "Caixa Preta" → "Regra de Ouro"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 formalizada via change request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CR-FRUKI01-001 v1.0 — inclusão do Módulo Regra de Ouro aprovada em 09/10/2025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de configuração aplicada (ICs, baselines, mudanças)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GCO-FRUKI01-001 v1.3 — 5 branches, 5 baselines (BL-01 a BL-05), 3 mudanças (CM-01 a CM-03)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do projeto registrado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RAC-FRUKI01-001 v1.0 — relatório parcial de 27/12/2025 (Sprints 1 e 2 concluídas; Sprint 3 em andamento)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aceite final elaborada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ATA-FRUKI01-003 v1.0 — reunião Teams 15/01/2026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realizado com aceite do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TAE-FRUKI01-002 v1.1 — aceite de Leandro Lottermann e Cecília Ribeiro (15/01/2026)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Pacote Final 24:</w:t>
      </w:r>
      <w:r>
        <w:rPr>
          <w:rFonts w:ascii="Calibri" w:hAnsi="Calibri"/>
          <w:b w:val="0"/>
          <w:i w:val="0"/>
          <w:sz w:val="22"/>
        </w:rPr>
        <w:t xml:space="preserve"> Sem não conformidades.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Revisão dos artefatos produzidos</w:t>
      </w:r>
    </w:p>
    <w:p>
      <w:pPr>
        <w:pStyle w:val="Heading2"/>
        <w:keepNext/>
        <w:keepLines/>
      </w:pPr>
      <w:r>
        <w:t>3.1 Pacote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 esperado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Cabeçalho completo, escopo, stakeholders, cronograma, ref. de abertura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Participantes, pauta, decisões, ações de follow-up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do Pacote 1 — 05/06/2025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Participantes, pauta, decisões, ações de follow-up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Levantamento de requisitos — 25/06/2025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do piloto, defeitos identificados e resoluções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 — 05/08/2025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detalhado, estimativas, riscos, recursos, marcos, aprovação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via ATA-FRUKI01-001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numerados, rastreáveis, com critério de aceite, validação documentada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justificadas, pontos de controle marcados, ITP e GDE referenciados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documentada, design UX validado, decisões técnicas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Componentes, interfaces, estratégia, ambientes, critérios de prontidão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com cenários Gherkin e resultados de execução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total dos RFs em artefatos e verificações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registrada com alternativas, critérios e justificativa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1 impacta o Pacote 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Status, realizado, esforço, riscos, ações corretivas, melhorias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encerramento — Set/2025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positivas, negativas e oportunidades de melhoria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Abrange Pacote 1 e Pacote Final 24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medidos por pacote; estimado vs. realizado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M1–M6 por pacote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Entregas, escopo realizado, aceite do cliente, lições aprendidas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Pacote Final 24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 esperado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Cabeçalho completo, escopo, stakeholders, cronograma, ref. de abertura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Participantes, pauta, decisões (kickoff + aprovação do plano + CR-001)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Pacote Final 24 — 09/10/2025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sprint, cenários, 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— Pedidos Não Alocados — 24/10/2025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sprint, cenários, 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— Regra de Ouro — 28/11/2025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sprint, cenários, resultado, AAB v2.0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— PDV — 14/01/2026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aceite com decisões e ressalvas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— 15/01/2026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detalhado, estimativas, riscos, recursos, marcos, aprovação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via ATA-FRUKI01-008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numerados, rastreáveis, com critério de aceite, validação documentada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justificadas, pontos de controle marcados, ITP e GDE referenciados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documentada, design UX validado por módulo, decisões técnicas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Componentes, interfaces, estratégia, mock strategy, ambientes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por módulo com cenários Gherkin e resultados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total dos RFs em artefatos e verificações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registrada com alternativas, critérios e justificativa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2 impacta o Pacote Final 24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Descrição da mudança, análise de impacto, aprovação, rastreabilidade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Módulo Regra de Ouro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ICs, branches, baselines, controle de mudanças, auditoria de configuração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parcial, esforço, riscos, ações corretivas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Snapshot de 27/12/2025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Entregas, escopo realizado (com ref. ao CR-001), aceite do cliente, lições aprendidas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encerramento do Pacote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da auditoria de encerramento do Pacote Final 24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Novos itens de auditoria: ITP, GCO, CR, RAC, ata de kickoff do Pacote Final 24; versões corrigidas (ADAP-001/002 v1.1, TAP-002 v1.1, TAE-002 v1.1); novos artefatos adicionados às tabelas §3.1 e §3.2 (ITP-001/002, GCO-001, CR-001, RAC-001/002, ATA-004 a 008, LI-001, MED-001)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GQA-FRUKI01-001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