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top w:val="single" w:sz="32" w:space="0" w:color="003366"/>
        </w:pBdr>
        <w:spacing w:before="0" w:after="0"/>
      </w:pPr>
    </w:p>
    <w:p>
      <w:pPr>
        <w:spacing w:before="240" w:after="40"/>
      </w:pPr>
      <w:r>
        <w:rPr>
          <w:rFonts w:ascii="Calibri" w:hAnsi="Calibri"/>
          <w:b/>
          <w:color w:val="003366"/>
          <w:sz w:val="36"/>
        </w:rPr>
        <w:t>TERMO DE ENCERRAMENTO E ACEITE DO PROJETO — SUPERAPP FRUKI · PACOTE 1 — MÓDULO METAS E RV</w:t>
      </w:r>
    </w:p>
    <w:p>
      <w:pPr>
        <w:spacing w:before="0" w:after="40"/>
      </w:pPr>
      <w:r>
        <w:rPr>
          <w:rFonts w:ascii="Calibri" w:hAnsi="Calibri"/>
          <w:color w:val="555555"/>
          <w:sz w:val="20"/>
        </w:rPr>
        <w:t>TAE-FRUKI01-001   ·   Versão 1.0   ·   Set/2025   ·   Timeware Brasil</w:t>
      </w:r>
    </w:p>
    <w:p>
      <w:pPr>
        <w:pBdr>
          <w:bottom w:val="single" w:sz="6" w:space="1" w:color="003366"/>
        </w:pBdr>
        <w:spacing w:before="120" w:after="28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4451"/>
        <w:gridCol w:w="4451"/>
      </w:tblGrid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Campo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Valor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Documento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TAE-FRUKI01-001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Projeto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SuperApp Fruki — Pacote 1 — Módulo Metas e Remuneração Variável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Cliente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Fruki Bebidas S.A.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Versão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1.0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Data de encerramento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Set/2025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Gerente de Projeto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Abraão Oliveira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1. Resumo do projeto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O Pacote 1 do SuperApp Fruki entregou o Módulo de Metas e Remuneração Variável (RV), permitindo que os representantes e supervisores comerciais da Fruki visualizem, em tempo real, seus indicadores de performance (volume por família, cobertura, drop size, positivação) e a composição de sua remuneração variável diretamente no aplicativo mobile.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O projeto foi executado de junho a setembro de 2025, com kickoff em 05/06/2025, levantamento formal de requisitos em 25/06/2025, acesso ao repositório Azure DevOps em 26/06/2025, piloto com vendedores selecionados em 05/08/2025 e encerramento após ajustes pós-piloto em setembro de 2025.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2. Entregas realizadas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967"/>
        <w:gridCol w:w="2967"/>
        <w:gridCol w:w="2967"/>
      </w:tblGrid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Entrega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Situação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Observação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Módulo Metas/RV — Tela de metas por família de produtos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Concluída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RF-01 — integração com API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/acompanhamentoMetasFamilias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Módulo Metas/RV — Indicadores de cobertura, drop size e positivação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Concluída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RF-02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Módulo Metas/RV — Composição de RV estimada por perfil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Concluída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RF-03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Adaptação de telas por perfil de vendedor (representante / supervisor)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Concluída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RF-04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Tratamento de latência de API e normalização de dados no front-end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Concluída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RNF-01 — deduplicação de famílias e ordenação alfabética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APK de teste gerado via Expo para piloto (05/08/2025)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Concluída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Distribuído para vendedores selecionados pela Fruki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Ajustes pós-piloto (duplicação de famílias, cálculo de positivação)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Concluída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Corrigidos após feedback do piloto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Pull Request entregue e mergeada no Azure DevOps Fruki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Concluída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Revisada e aprovada por Jardel Dargas Silva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3. Escopo: planejado × realizado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Todos os itens previstos no PLA-FRUKI01-001 foram entregues. Não houve change requests ou expansão de escopo durante o Pacote 1.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967"/>
        <w:gridCol w:w="2967"/>
        <w:gridCol w:w="2967"/>
      </w:tblGrid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Item de escopo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Planejado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Realizado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RF-01 a RF-04 — Módulo Metas/RV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Sim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Sim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Integração com 4 APIs Fruki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Sim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Sim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Piloto com vendedores selecionados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Sim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Sim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Entrega via PR no Azure DevOps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Sim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Sim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APIs (responsabilidade Fruki)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Não incluído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Não aplicável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Versão iOS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Não incluído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Não aplicável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4. Aceite do cliente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225"/>
        <w:gridCol w:w="2225"/>
        <w:gridCol w:w="2225"/>
        <w:gridCol w:w="2225"/>
      </w:tblGrid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Cliente / responsável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Aceite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Data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Ref. da ata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Leandro Lottermann (Coordenador de Sistemas — Fruki)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Aprovado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Set/2025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Comunicação via e-mail / Teams após merge da PR e validação do piloto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Cecília Ribeiro (Analista Digital — Fruki)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Validado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Ago/Set 2025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Validação dos ajustes pós-piloto com aprovação final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5. Transição / sustentação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O código do Módulo Metas/RV foi entregue via Pull Request, revisado e mergeado por Jardel Dargas Silva no repositório Azure DevOps da Fruki (</w:t>
      </w:r>
      <w:r>
        <w:rPr>
          <w:rFonts w:ascii="Courier New" w:hAnsi="Courier New"/>
          <w:b w:val="0"/>
          <w:i w:val="0"/>
          <w:color w:val="333333"/>
          <w:sz w:val="20"/>
        </w:rPr>
        <w:t>https://dev.azure.com/fruki/superapp/_git/fruki-app.git</w:t>
      </w:r>
      <w:r>
        <w:rPr>
          <w:rFonts w:ascii="Calibri" w:hAnsi="Calibri"/>
          <w:b w:val="0"/>
          <w:i w:val="0"/>
          <w:sz w:val="22"/>
        </w:rPr>
        <w:t>). A partir do merge, o código integra o codebase do SuperApp Fruki sob custódia da equipe de TI da Fruki. A Timeware não mantém ambiente de sustentação — novas demandas seguem nova proposta comercial.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Sequência natural: encerramento do Pacote 1 → abertura do Pacote Final 24 (out/2025), com continuidade na mesma base de código.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6. Lições aprendidas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967"/>
        <w:gridCol w:w="2967"/>
        <w:gridCol w:w="2967"/>
      </w:tblGrid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Tema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O que ocorreu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Lição / recomendação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Dependência de APIs externas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As APIs fornecidas pela Fruki apresentaram latência elevada (~3,10s) e retorno de dados duplicados; a Fruki não tinha disponibilidade para corrigir no prazo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Em projetos onde o back-end é responsabilidade do cliente, incluir no plano de projeto um sprint técnico inicial para validação das APIs antes do início do desenvolvimento das telas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Piloto revelou defeitos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 duplicação de famílias e o cálculo inconsistente de positivação foram identificados apenas no piloto (05/08/2025), não durante o desenvolvimento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Incluir cenários de teste com dados reais de API antes do APK de piloto; usar mocks que simulem casos extremos da API (duplicados, valores nulos)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Levantamento de regras de negócio via reunião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Uma reunião focada com Cecília (25/06/2025) foi suficiente para levantar e validar todas as regras de metas e RV do Pacote 1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Reunião de levantamento estruturada com PO do cliente antes do início do desenvolvimento é suficiente para projetos de módulo único e bem delimitado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Parceria nova com fornecedor substituto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 Timeware assumiu um projeto já em andamento (SuperApp existente) sem documentação de arquitetura; o onboarding no codebase exigiu tempo adicional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Em projetos de substituição de fornecedor, solicitar ao cliente a documentação técnica e o acesso ao repositório pelo menos 1 semana antes do início do desenvolvimento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Registro de encerramento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967"/>
        <w:gridCol w:w="2967"/>
        <w:gridCol w:w="2967"/>
      </w:tblGrid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Evento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Data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Ref.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Piloto com vendedores selecionados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05/08/2025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APK gerado via Expo — feedback coletado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Ajustes pós-piloto e entrega final via PR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Ago/Set 2025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Azure DevOps Fruki — PR revisada e mergeada por Jardel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Aceite do Pacote 1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Set/2025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E-mail / Teams — Leandro Lottermann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Controle de atualizações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2225"/>
        <w:gridCol w:w="2225"/>
        <w:gridCol w:w="2225"/>
        <w:gridCol w:w="2225"/>
      </w:tblGrid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Versão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Data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Autor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Descrição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1.0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05/06/2026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Abraão Oliveira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Versão inicial — registro retroativo (projeto executado jun–set/2025)</w:t>
            </w:r>
          </w:p>
        </w:tc>
      </w:tr>
    </w:tbl>
    <w:p>
      <w:pPr>
        <w:spacing w:before="0" w:after="160"/>
      </w:pPr>
    </w:p>
    <w:sectPr w:rsidR="00FC693F" w:rsidRPr="0006063C" w:rsidSect="00034616">
      <w:headerReference w:type="default" r:id="rId9"/>
      <w:headerReference w:type="first" r:id="rId10"/>
      <w:footerReference w:type="default" r:id="rId11"/>
      <w:footerReference w:type="first" r:id="rId12"/>
      <w:pgSz w:w="11906" w:h="16838"/>
      <w:pgMar w:top="1587" w:right="1417" w:bottom="1417" w:left="158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8901"/>
      </w:tabs>
      <w:pBdr>
        <w:top w:val="single" w:sz="4" w:space="4" w:color="003366"/>
      </w:pBdr>
      <w:spacing w:before="80" w:after="0"/>
    </w:pPr>
    <w:r>
      <w:rPr>
        <w:rFonts w:ascii="Calibri" w:hAnsi="Calibri"/>
        <w:color w:val="555555"/>
        <w:sz w:val="16"/>
      </w:rPr>
      <w:t>v1.0  ·  Set/2025</w:t>
    </w:r>
    <w:r>
      <w:tab/>
    </w:r>
    <w:r>
      <w:rPr>
        <w:rFonts w:ascii="Calibri" w:hAnsi="Calibri"/>
        <w:color w:val="555555"/>
        <w:sz w:val="16"/>
      </w:rPr>
      <w:t xml:space="preserve">Página </w:t>
    </w:r>
    <w:r>
      <w:rPr>
        <w:rFonts w:ascii="Calibri" w:hAnsi="Calibri"/>
        <w:sz w:val="16"/>
      </w:rPr>
      <w:fldChar w:fldCharType="begin"/>
      <w:instrText xml:space="preserve"> PAGE </w:instrText>
      <w:fldChar w:fldCharType="end"/>
    </w:r>
    <w:r>
      <w:rPr>
        <w:rFonts w:ascii="Calibri" w:hAnsi="Calibri"/>
        <w:color w:val="555555"/>
        <w:sz w:val="16"/>
      </w:rPr>
      <w:t xml:space="preserve"> de </w:t>
    </w:r>
    <w:r>
      <w:rPr>
        <w:rFonts w:ascii="Calibri" w:hAnsi="Calibri"/>
        <w:sz w:val="16"/>
      </w:rPr>
      <w:fldChar w:fldCharType="begin"/>
      <w:instrText xml:space="preserve"> NUMPAGES 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8901"/>
      </w:tabs>
      <w:pBdr>
        <w:top w:val="single" w:sz="4" w:space="4" w:color="003366"/>
      </w:pBdr>
      <w:spacing w:before="80" w:after="0"/>
    </w:pPr>
    <w:r>
      <w:rPr>
        <w:rFonts w:ascii="Calibri" w:hAnsi="Calibri"/>
        <w:color w:val="555555"/>
        <w:sz w:val="16"/>
      </w:rPr>
      <w:t>v1.0  ·  Set/2025</w:t>
    </w:r>
    <w:r>
      <w:tab/>
    </w:r>
    <w:r>
      <w:rPr>
        <w:rFonts w:ascii="Calibri" w:hAnsi="Calibri"/>
        <w:color w:val="555555"/>
        <w:sz w:val="16"/>
      </w:rPr>
      <w:t xml:space="preserve">Página </w:t>
    </w:r>
    <w:r>
      <w:rPr>
        <w:rFonts w:ascii="Calibri" w:hAnsi="Calibri"/>
        <w:sz w:val="16"/>
      </w:rPr>
      <w:fldChar w:fldCharType="begin"/>
      <w:instrText xml:space="preserve"> PAGE </w:instrText>
      <w:fldChar w:fldCharType="end"/>
    </w:r>
    <w:r>
      <w:rPr>
        <w:rFonts w:ascii="Calibri" w:hAnsi="Calibri"/>
        <w:color w:val="555555"/>
        <w:sz w:val="16"/>
      </w:rPr>
      <w:t xml:space="preserve"> de </w:t>
    </w:r>
    <w:r>
      <w:rPr>
        <w:rFonts w:ascii="Calibri" w:hAnsi="Calibri"/>
        <w:sz w:val="16"/>
      </w:rPr>
      <w:fldChar w:fldCharType="begin"/>
      <w:instrText xml:space="preserve"> NUMPAGES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val="right" w:pos="8901"/>
      </w:tabs>
      <w:pBdr>
        <w:bottom w:val="single" w:sz="8" w:space="4" w:color="003366"/>
      </w:pBdr>
      <w:spacing w:before="0" w:after="80"/>
    </w:pPr>
    <w:r>
      <w:rPr>
        <w:rFonts w:ascii="Calibri" w:hAnsi="Calibri"/>
        <w:b/>
        <w:color w:val="003366"/>
        <w:sz w:val="18"/>
      </w:rPr>
      <w:t>TIMEWARE</w:t>
    </w:r>
    <w:r>
      <w:rPr>
        <w:rFonts w:ascii="Calibri" w:hAnsi="Calibri"/>
        <w:color w:val="555555"/>
        <w:sz w:val="18"/>
      </w:rPr>
      <w:t xml:space="preserve">   ·   TAE-FRUKI01-001</w:t>
    </w:r>
    <w:r>
      <w:tab/>
    </w:r>
    <w:r>
      <w:rPr>
        <w:rFonts w:ascii="Calibri" w:hAnsi="Calibri"/>
        <w:color w:val="555555"/>
        <w:sz w:val="18"/>
      </w:rPr>
      <w:t>Gerência de Projetos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Rule="auto" w:line="276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03366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1A5276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40"/>
      <w:outlineLvl w:val="2"/>
    </w:pPr>
    <w:rPr>
      <w:rFonts w:asciiTheme="majorHAnsi" w:eastAsiaTheme="majorEastAsia" w:hAnsiTheme="majorHAnsi" w:cstheme="majorBidi" w:ascii="Calibri" w:hAnsi="Calibri"/>
      <w:b/>
      <w:bCs/>
      <w:i/>
      <w:color w:val="1A5276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