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PAINEL DE PORTFÓLIO DE PROJETOS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REG-OSW-001   ·   Versão 1.1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REG-OSW-001 — Painel de Portfólio de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 — escritório de portfólio de projetos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(evidência organizacional — OSW 8, OSW 9, OSW 10)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organizacional de governança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Registrar, de forma consolidada e auditável, a situação do </w:t>
      </w:r>
      <w:r>
        <w:rPr>
          <w:rFonts w:ascii="Calibri" w:hAnsi="Calibri"/>
          <w:b/>
          <w:i w:val="0"/>
          <w:sz w:val="22"/>
        </w:rPr>
        <w:t>portfólio de projetos</w:t>
      </w:r>
      <w:r>
        <w:rPr>
          <w:rFonts w:ascii="Calibri" w:hAnsi="Calibri"/>
          <w:b w:val="0"/>
          <w:i w:val="0"/>
          <w:sz w:val="22"/>
        </w:rPr>
        <w:t xml:space="preserve"> da Timeware no período de referência: os projetos em andamento e concluídos, sua priorização, a alocação dos recursos compartilhados e o acompanhamento dos compromissos assumidos.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painel materializa, para fins de avaliação, a gestão de portfólio definida em </w:t>
      </w:r>
      <w:r>
        <w:rPr>
          <w:rFonts w:ascii="Calibri" w:hAnsi="Calibri"/>
          <w:b/>
          <w:i w:val="0"/>
          <w:sz w:val="22"/>
        </w:rPr>
        <w:t>PRO-OSW-002</w:t>
      </w:r>
      <w:r>
        <w:rPr>
          <w:rFonts w:ascii="Calibri" w:hAnsi="Calibri"/>
          <w:b w:val="0"/>
          <w:i w:val="0"/>
          <w:sz w:val="22"/>
        </w:rPr>
        <w:t>. A operação corrente (quadro de capacity e situação dos projetos) é mantida no Jira e no Confluence, conforme PRO-OSW-002 §4.1; este documento é o recorte consolidado (snapshot) dessa operação.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Período e fonte de dados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Período de referência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Abr/2025 – Jul/2026 (ciclo de implantação MPS-SW Nível C)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Data do snapshot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 (situação dos projetos e quadro de capacity), Confluence (atas de priorização e de análise crítica), registros de projeto (04_registros)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Responsável pela consolidação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(Operações), com apoio do Time de Melhoria Contínua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Portfólio — situação consolidada (snapshot)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Cliente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Natureza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Período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Registros de origem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Profarma S.A. / Rede D1000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de software (modernização de cadastro)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Abr/2025 –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(aceite final)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04_registros/PROFARMA_Cadastro-de-Clientes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Força de Vendas — Pacote 1 (Metas e RV)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mobile (React Native)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Jun/2025 – Set/2025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(piloto + aceite)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04_registros/FTFRUKI_SuperApp-Forca-de-Vendas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Força de Vendas — Pacote Final 24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mobile (React Native)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 – Jan/2026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(aceite 15/01/2026)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04_registros/FTFRUKI_SuperApp-Forca-de-Vendas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— Governança de APIs (OS-001 e OS-002)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GASMIG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Configuração cloud (Azure API Management)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Abr/2026 – Jun/2026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Concluído (OS-002 encerrada 09/06/2026)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04_registros/FTGASMIG_Governanca-APIs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— Captura de Andamentos Processuais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back-end / worker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~9 meses (em curso)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Em execução (encerramento previsto 30/06/2026)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04_registros/AASP_CNJ</w:t>
            </w:r>
          </w:p>
        </w:tc>
      </w:tr>
      <w:tr>
        <w:trPr>
          <w:cantSplit w:val="1"/>
        </w:trPr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MilhasFácil — Busca e Alerta de Passagens por Milhas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de software (3 serviços: API/Web/Crawler)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Fev/2026 – Jul/2026 (em curso)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🟡 Em execução (Sprint 9 de 12; encerramento previsto 26/07/2026)</w:t>
            </w:r>
          </w:p>
        </w:tc>
        <w:tc>
          <w:tcPr>
            <w:tcW w:type="dxa" w:w="148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04_registros/MilhasFacil_Busca-de-Milhas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Os projetos acima compõem o portfólio do ciclo. Demais oportunidades em prospecção são qualificadas pela área comercial e só entram no portfólio após aprovação da priorização (§4).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Priorização aplicada (OSW 8)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priorização das oportunidades e dos projetos é conduzida pelo </w:t>
      </w:r>
      <w:r>
        <w:rPr>
          <w:rFonts w:ascii="Calibri" w:hAnsi="Calibri"/>
          <w:b/>
          <w:i w:val="0"/>
          <w:sz w:val="22"/>
        </w:rPr>
        <w:t>COO (Operações)</w:t>
      </w:r>
      <w:r>
        <w:rPr>
          <w:rFonts w:ascii="Calibri" w:hAnsi="Calibri"/>
          <w:b w:val="0"/>
          <w:i w:val="0"/>
          <w:sz w:val="22"/>
        </w:rPr>
        <w:t>, conforme os critérios de PRO-OSW-002 §3: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alinhamento com os objetivos de negócio</w:t>
      </w:r>
      <w:r>
        <w:rPr>
          <w:rFonts w:ascii="Calibri" w:hAnsi="Calibri"/>
          <w:b w:val="0"/>
          <w:i w:val="0"/>
          <w:sz w:val="22"/>
        </w:rPr>
        <w:t xml:space="preserve"> (crescer com qualidade e previsibilidade);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compromissos contratuais e prazos</w:t>
      </w:r>
      <w:r>
        <w:rPr>
          <w:rFonts w:ascii="Calibri" w:hAnsi="Calibri"/>
          <w:b w:val="0"/>
          <w:i w:val="0"/>
          <w:sz w:val="22"/>
        </w:rPr>
        <w:t xml:space="preserve"> com clientes;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disponibilidade de recursos</w:t>
      </w:r>
      <w:r>
        <w:rPr>
          <w:rFonts w:ascii="Calibri" w:hAnsi="Calibri"/>
          <w:b w:val="0"/>
          <w:i w:val="0"/>
          <w:sz w:val="22"/>
        </w:rPr>
        <w:t>, especialmente os compartilhados (Tech Lead, Arquiteto, Product Owner);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retorno e relevância estratégica.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No período de referência, os projetos foram assumidos de forma escalonada, respeitando a capacidade real da organização: a entrada da Fundação Tecnológica GASMIG (abr/2026) ocorreu após a conclusão dos pacotes do SuperApp Fruki (jan/2026), evitando sobreposição dos recursos técnicos compartilhados. A decisão de assumir cada projeto e sua ordem de prioridade é registrada nas atas do escritório de portfólio (Confluence).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Recursos, capacidade e autoridade (OSW 9)</w:t>
      </w:r>
    </w:p>
    <w:p>
      <w:pPr>
        <w:pStyle w:val="Heading2"/>
        <w:keepNext/>
        <w:keepLines/>
      </w:pPr>
      <w:r>
        <w:t>5.1. Quadro de capacity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alocação dos recursos compartilhados (Tech Lead, Arquiteto, Product Owner) entre os projetos é registrada no </w:t>
      </w:r>
      <w:r>
        <w:rPr>
          <w:rFonts w:ascii="Calibri" w:hAnsi="Calibri"/>
          <w:b/>
          <w:i w:val="0"/>
          <w:sz w:val="22"/>
        </w:rPr>
        <w:t>quadro de capacity</w:t>
      </w:r>
      <w:r>
        <w:rPr>
          <w:rFonts w:ascii="Calibri" w:hAnsi="Calibri"/>
          <w:b w:val="0"/>
          <w:i w:val="0"/>
          <w:sz w:val="22"/>
        </w:rPr>
        <w:t xml:space="preserve"> mantido no Jira, conforme a estrutura e a cadência definidas em PRO-OSW-002 §4.1 (campos: colaborador, projeto, alocação %, período, status; revisão antes de cada sprint).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No período de referência, os projetos ativos operaram com </w:t>
      </w:r>
      <w:r>
        <w:rPr>
          <w:rFonts w:ascii="Calibri" w:hAnsi="Calibri"/>
          <w:b/>
          <w:i w:val="0"/>
          <w:sz w:val="22"/>
        </w:rPr>
        <w:t>equipes dedicadas por projeto</w:t>
      </w:r>
      <w:r>
        <w:rPr>
          <w:rFonts w:ascii="Calibri" w:hAnsi="Calibri"/>
          <w:b w:val="0"/>
          <w:i w:val="0"/>
          <w:sz w:val="22"/>
        </w:rPr>
        <w:t>, com acúmulo de papéis registrado em cada adaptação (ADAP-*). Não houve acionamento do critério de escalada de PRO-OSW-002 §4.1 (recurso compartilhado acima de 100% de alocação por duas sprints consecutivas); portanto, não foi necessária reunião de repriorização por conflito de recursos no período.</w:t>
      </w:r>
    </w:p>
    <w:p>
      <w:pPr>
        <w:pStyle w:val="Heading2"/>
        <w:keepNext/>
        <w:keepLines/>
      </w:pPr>
      <w:r>
        <w:t>5.2. Autoridade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autoridade para priorizar o portfólio e decidir a alocação de recursos compartilhados é do </w:t>
      </w:r>
      <w:r>
        <w:rPr>
          <w:rFonts w:ascii="Calibri" w:hAnsi="Calibri"/>
          <w:b/>
          <w:i w:val="0"/>
          <w:sz w:val="22"/>
        </w:rPr>
        <w:t>COO (Operações)</w:t>
      </w:r>
      <w:r>
        <w:rPr>
          <w:rFonts w:ascii="Calibri" w:hAnsi="Calibri"/>
          <w:b w:val="0"/>
          <w:i w:val="0"/>
          <w:sz w:val="22"/>
        </w:rPr>
        <w:t>, responsável pelo escritório de portfólio de projetos (PRO-OSW-002 §4.2). Decisões de natureza estratégica são reportadas ao CEO.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Riscos organizacionais de portfólio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riscos de natureza organizacional associados ao portfólio — concorrência de recursos entre projetos e dependência de pessoas-chave — são geridos conforme a </w:t>
      </w:r>
      <w:r>
        <w:rPr>
          <w:rFonts w:ascii="Calibri" w:hAnsi="Calibri"/>
          <w:b/>
          <w:i w:val="0"/>
          <w:sz w:val="22"/>
        </w:rPr>
        <w:t>Estratégia de Gerência de Riscos e Oportunidades (EST-GPC-002)</w:t>
      </w:r>
      <w:r>
        <w:rPr>
          <w:rFonts w:ascii="Calibri" w:hAnsi="Calibri"/>
          <w:b w:val="0"/>
          <w:i w:val="0"/>
          <w:sz w:val="22"/>
        </w:rPr>
        <w:t xml:space="preserve"> e acompanhados pela direção e pelo Time de Melhoria Contínua (PRO-OSW-001 §5). Riscos de maior exposição são levados à análise crítica pela direção.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Acompanhamento do portfólio e tratamento de desvios (OSW 10)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projetos do portfólio são acompanhados de forma consolidada quanto ao cumprimento dos compromissos (prazo, escopo, recursos), apoiados pela situação no Jira e pelo quadro de capacity (PRO-OSW-002 §5).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Compromissos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 no acompanhamento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Cadastro de Clientes (Rede D1000)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Prazo/escopo do contrato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 com aceite formal; desvios de prazo originados por dependências externas do cliente (ambiente AKS, GMUD) foram registrados e tratados no projeto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(Pacote 1 e Final)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Entregas incrementais por módulo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Concluído; entregas validadas por piloto e aceite final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Fundação Tecnológica GASMIG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por marco (OS-001 e OS-002)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Concluído; OS-002 encerrada em 09/06/2026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WorkerAndamentos (AASP)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por fase/onda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execução; acompanhamento por horas e fases; encerramento previsto 30/06/2026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MilhasFácil (Hub de Milhas)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incremental por sprint (12 sprints)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execução; Sprint 9 de 12; CR-MF-001 absorvido sem atraso macro; encerramento previsto 26/07/2026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Desvios identificados no acompanhamento são tratados por realocação de recursos, repriorização ou ações específicas no projeto, conforme PRO-OSW-002 §5.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Análise crítica pela direção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situação do portfólio é insumo da </w:t>
      </w:r>
      <w:r>
        <w:rPr>
          <w:rFonts w:ascii="Calibri" w:hAnsi="Calibri"/>
          <w:b/>
          <w:i w:val="0"/>
          <w:sz w:val="22"/>
        </w:rPr>
        <w:t>análise crítica trimestral dos processos</w:t>
      </w:r>
      <w:r>
        <w:rPr>
          <w:rFonts w:ascii="Calibri" w:hAnsi="Calibri"/>
          <w:b w:val="0"/>
          <w:i w:val="0"/>
          <w:sz w:val="22"/>
        </w:rPr>
        <w:t>, conduzida pelo COO e reportada ao CEO (PRO-OSW-001 §7). As decisões e os encaminhamentos da análise crítica são registrados em ata mantida no Confluence e acompanhados pelo Time de Melhoria Contínua.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Rastreabilidade com o modelo MR-MPS-SW:2024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Como este documento atende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8 — oportunidades de negócio/investimentos priorizados (portfólio)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§3 (portfólio consolidado) e §4 (priorização aplicada)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9 — recursos, orçamento e autoridade do portfólio estabelecidos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§5 (capacity, recursos compartilhados e autoridade)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OSW 10 — projetos do portfólio mantidos e tratados conforme os acordos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§7 (acompanhamento e tratamento de desvios)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13/06/2026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consolidação (snapshot) do portfólio do ciclo MPS-SW Nível C, materializando a evidência de OSW 8, 9 e 10 mantida no Jira/Confluence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 projeto MilhasFácil (Hub de Milhas) no portfólio (§3 e §7); atualização do snapshot para 15/06/2026 e do período de referência para Jul/2026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REG-OSW-001</w:t>
    </w:r>
    <w:r>
      <w:tab/>
    </w:r>
    <w:r>
      <w:rPr>
        <w:rFonts w:ascii="Calibri" w:hAnsi="Calibri"/>
        <w:color w:val="555555"/>
        <w:sz w:val="18"/>
      </w:rPr>
      <w:t>Gerência Organizacional de Software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